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DEL SISTEMA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Define el contexto, los contenedores y el despliegue del MVP regional. La arquitectura es una línea base portable y verificable: identifica responsabilidades, límites de confianza, escenarios de calidad y decisiones, sin seleccionar proveedores externos definitivos ni autorizar producción.</w:t>
      </w:r>
    </w:p>
    <w:p>
      <w:pPr>
        <w:pStyle w:val="Heading2"/>
      </w:pPr>
      <w:r>
        <w:t>Clasificación del contenido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69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Categoría</w:t>
            </w:r>
          </w:p>
        </w:tc>
        <w:tc>
          <w:tcPr>
            <w:tcW w:type="dxa" w:w="6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Tratamiento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Hecho heredado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Requisito, regla, alcance o decisión ya documentada en las fases 1 a 4.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de diseño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Línea base técnica adoptada para el MVP y modificable mediante ADR controlado.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Hipótesis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Supuesto que requiere evidencia durante desarrollo, prueba o piloto.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 pendiente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Materia que debe aprobar el especialista competente antes de producción o dinero real.</w:t>
            </w:r>
          </w:p>
        </w:tc>
      </w:tr>
    </w:tbl>
    <w:p>
      <w:pPr>
        <w:spacing w:after="40"/>
      </w:pPr>
    </w:p>
    <w:p>
      <w:pPr>
        <w:pStyle w:val="Heading2"/>
      </w:pPr>
      <w:r>
        <w:t>3. Decisiones rectoras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Monolito modular para reducir complejidad operativa del equipo pequeño y conservar límites funcionales claros.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Frontend Next.js y API Spring Boot bajo el mismo origen lógico; sesión revocable en servidor y cookie Secure, HttpOnly y SameSite.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conserva datos transaccionales y metadatos; documentos residen en almacenamiento S3 compatible. MinIO solo en desarrollo local.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Despliegue Docker portable, base administrada, secretos externos a imágenes y observabilidad basada en estándares.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No forman parte de la línea base: microservicios, Kubernetes, Redis, Kafka, RabbitMQ, JWT propio u OAuth2/OIDC.</w:t>
      </w:r>
    </w:p>
    <w:p>
      <w:pPr>
        <w:pStyle w:val="Heading2"/>
      </w:pPr>
      <w:r>
        <w:t>4. Contexto y sistemas externos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1" name="Picture 1" descr="Diagrama de contexto: clientes y personal interno acceden a San Martin Finanzas, que se integra mediante adaptadores con identidad/riesgo, mensajería, desembolso/pagos y almacenamiento S3." title="Diagrama de contexto: clientes y personal interno acceden a San Martin Finanzas,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1. Contexto y dependencias externas pendientes de selección.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700"/>
        <w:gridCol w:w="2500"/>
        <w:gridCol w:w="2300"/>
        <w:gridCol w:w="2520"/>
      </w:tblGrid>
      <w:tr>
        <w:trPr>
          <w:tblHeader w:val="true"/>
        </w:trPr>
        <w:tc>
          <w:tcPr>
            <w:tcW w:type="dxa" w:w="1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Actor/sistema</w:t>
            </w:r>
          </w:p>
        </w:tc>
        <w:tc>
          <w:tcPr>
            <w:tcW w:type="dxa" w:w="2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Interés o responsabilidad</w:t>
            </w:r>
          </w:p>
        </w:tc>
        <w:tc>
          <w:tcPr>
            <w:tcW w:type="dxa" w:w="2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Datos intercambiados</w:t>
            </w:r>
          </w:p>
        </w:tc>
        <w:tc>
          <w:tcPr>
            <w:tcW w:type="dxa" w:w="25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Decisión pendiente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Cliente regional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Solicitar y administrar su micropréstamo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Identidad, economía, contrato, préstamo y pagos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Validar recorridos y accesibilidad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Analista/supervisor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Evaluar, decidir, controlar excepciones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Expediente, motivos, evidencias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Matriz final de permisos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Administración/cumplimiento/auditoría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Gobernar parámetros, controles y evidencia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Roles, KYC/PEP, auditoría, reportes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Responsables y segregación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Proveedor de identidad/riesgo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Validaciones externas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Datos mínimos y referencias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Proveedor, base legal y SLA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Mensajería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Correo/SMS transaccional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Destino, plantilla, estado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Proveedor y conservación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Canal de desembolso/pago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Confirmaciones monetarias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Referencia, monto, estado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Proceso piloto y conciliación</w:t>
            </w:r>
          </w:p>
        </w:tc>
      </w:tr>
      <w:tr>
        <w:tc>
          <w:tcPr>
            <w:tcW w:type="dxa" w:w="1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S3 compatible</w:t>
            </w:r>
          </w:p>
        </w:tc>
        <w:tc>
          <w:tcPr>
            <w:tcW w:type="dxa" w:w="2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Custodia de documentos</w:t>
            </w:r>
          </w:p>
        </w:tc>
        <w:tc>
          <w:tcPr>
            <w:tcW w:type="dxa" w:w="2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Objetos cifrados, hash y metadatos mínimos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Proveedor y residencia</w:t>
            </w:r>
          </w:p>
        </w:tc>
      </w:tr>
    </w:tbl>
    <w:p>
      <w:pPr>
        <w:spacing w:after="40"/>
      </w:pPr>
    </w:p>
    <w:p>
      <w:pPr>
        <w:pStyle w:val="Heading2"/>
      </w:pPr>
      <w:r>
        <w:t>5. Contenedores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2" name="Picture 2" descr="Diagrama de contenedores: web Next.js llama a API Spring Boot; API usa PostgreSQL y S3, y registra eventos para trabajos diferidos mediante outbox." title="Diagrama de contenedores: web Next.js llama a API Spring Boot; API usa PostgreS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ntened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2. Contenedores lógicos del MVP.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1850"/>
        <w:gridCol w:w="3350"/>
        <w:gridCol w:w="23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Contenedor</w:t>
            </w:r>
          </w:p>
        </w:tc>
        <w:tc>
          <w:tcPr>
            <w:tcW w:type="dxa" w:w="18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Tecnología base</w:t>
            </w:r>
          </w:p>
        </w:tc>
        <w:tc>
          <w:tcPr>
            <w:tcW w:type="dxa" w:w="33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Responsabilidad</w:t>
            </w:r>
          </w:p>
        </w:tc>
        <w:tc>
          <w:tcPr>
            <w:tcW w:type="dxa" w:w="23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No responsabilidad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Web</w:t>
            </w:r>
          </w:p>
        </w:tc>
        <w:tc>
          <w:tcPr>
            <w:tcW w:type="dxa" w:w="1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Next.js 16, React 19, TypeScript 5.9, Node 24 LTS</w:t>
            </w:r>
          </w:p>
        </w:tc>
        <w:tc>
          <w:tcPr>
            <w:tcW w:type="dxa" w:w="3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Presentación, navegación, validación de experiencia, accesibilidad y consumo de API.</w:t>
            </w:r>
          </w:p>
        </w:tc>
        <w:tc>
          <w:tcPr>
            <w:tcW w:type="dxa" w:w="2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decide crédito ni recalcula saldos como fuente oficial.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API</w:t>
            </w:r>
          </w:p>
        </w:tc>
        <w:tc>
          <w:tcPr>
            <w:tcW w:type="dxa" w:w="1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Java 25, Spring Boot 4.1, Spring Modulith 2.1</w:t>
            </w:r>
          </w:p>
        </w:tc>
        <w:tc>
          <w:tcPr>
            <w:tcW w:type="dxa" w:w="3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Casos de uso, autorización, reglas, motor financiero, auditoría e integraciones.</w:t>
            </w:r>
          </w:p>
        </w:tc>
        <w:tc>
          <w:tcPr>
            <w:tcW w:type="dxa" w:w="2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expone DB ni objetos directamente sin autorización.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Base transaccional</w:t>
            </w:r>
          </w:p>
        </w:tc>
        <w:tc>
          <w:tcPr>
            <w:tcW w:type="dxa" w:w="1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PostgreSQL 18 + Flyway 13</w:t>
            </w:r>
          </w:p>
        </w:tc>
        <w:tc>
          <w:tcPr>
            <w:tcW w:type="dxa" w:w="3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Integridad, concurrencia, sesiones, estados, dinero y metadatos.</w:t>
            </w:r>
          </w:p>
        </w:tc>
        <w:tc>
          <w:tcPr>
            <w:tcW w:type="dxa" w:w="2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almacena binarios documentales.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Objetos</w:t>
            </w:r>
          </w:p>
        </w:tc>
        <w:tc>
          <w:tcPr>
            <w:tcW w:type="dxa" w:w="1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S3 compatible; MinIO solo local</w:t>
            </w:r>
          </w:p>
        </w:tc>
        <w:tc>
          <w:tcPr>
            <w:tcW w:type="dxa" w:w="3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Versiones documentales cifradas y recuperables.</w:t>
            </w:r>
          </w:p>
        </w:tc>
        <w:tc>
          <w:tcPr>
            <w:tcW w:type="dxa" w:w="2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contiene decisiones sin referencia transaccional.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Procesamiento diferido</w:t>
            </w:r>
          </w:p>
        </w:tc>
        <w:tc>
          <w:tcPr>
            <w:tcW w:type="dxa" w:w="1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Outbox + ejecutor interno</w:t>
            </w:r>
          </w:p>
        </w:tc>
        <w:tc>
          <w:tcPr>
            <w:tcW w:type="dxa" w:w="3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Notificaciones, reintentos y adaptadores sin perder atomicidad.</w:t>
            </w:r>
          </w:p>
        </w:tc>
        <w:tc>
          <w:tcPr>
            <w:tcW w:type="dxa" w:w="2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es broker distribuido ni microservicio.</w:t>
            </w:r>
          </w:p>
        </w:tc>
      </w:tr>
    </w:tbl>
    <w:p>
      <w:pPr>
        <w:spacing w:after="40"/>
      </w:pPr>
    </w:p>
    <w:p>
      <w:pPr>
        <w:pStyle w:val="Heading2"/>
      </w:pPr>
      <w:r>
        <w:t>6. Despliegue, ambientes y confianza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18000"/>
            <wp:docPr id="3" name="Picture 3" descr="Dispositivo no confiable usa TLS hacia frontera pública con Next.js y Spring Boot; red privada conecta PostgreSQL, S3, secretos y observabilidad." title="Dispositivo no confiable usa TLS hacia frontera pública con Next.js y Spring Bo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splie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434343"/>
          <w:sz w:val="18"/>
        </w:rPr>
        <w:t>Figura 3. Despliegue portable y zonas de confianza.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450"/>
        <w:gridCol w:w="1300"/>
        <w:gridCol w:w="2450"/>
        <w:gridCol w:w="3820"/>
      </w:tblGrid>
      <w:tr>
        <w:trPr>
          <w:tblHeader w:val="true"/>
        </w:trPr>
        <w:tc>
          <w:tcPr>
            <w:tcW w:type="dxa" w:w="1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Ambiente</w:t>
            </w:r>
          </w:p>
        </w:tc>
        <w:tc>
          <w:tcPr>
            <w:tcW w:type="dxa" w:w="13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Datos</w:t>
            </w:r>
          </w:p>
        </w:tc>
        <w:tc>
          <w:tcPr>
            <w:tcW w:type="dxa" w:w="2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Propósito</w:t>
            </w:r>
          </w:p>
        </w:tc>
        <w:tc>
          <w:tcPr>
            <w:tcW w:type="dxa" w:w="3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Controles mínimos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Local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Sintéticos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Desarrollo individual con Docker Compose y MinIO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Secretos locales no versionados; migraciones reproducibles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Pruebas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Sintéticos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Integración, seguridad, rendimiento y recuperación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Aislado; datos reiniciables; acceso de equipo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Demostración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Sintéticos curados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Sprint Review y flujo integral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 dinero real; evidencia y versión identificables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Preproducción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Anonimizados/sintéticos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Validación operativa final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Configuración equivalente; pruebas de restore</w:t>
            </w:r>
          </w:p>
        </w:tc>
      </w:tr>
      <w:tr>
        <w:tc>
          <w:tcPr>
            <w:tcW w:type="dxa" w:w="1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Producción</w:t>
            </w:r>
          </w:p>
        </w:tc>
        <w:tc>
          <w:tcPr>
            <w:tcW w:type="dxa" w:w="13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Reales solo tras autorizaciones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Piloto regional controlado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PostgreSQL administrado, S3, gestor de secretos, monitoreo y respuesta</w:t>
            </w:r>
          </w:p>
        </w:tc>
      </w:tr>
    </w:tbl>
    <w:p>
      <w:pPr>
        <w:spacing w:after="40"/>
      </w:pPr>
    </w:p>
    <w:p>
      <w:pPr>
        <w:pStyle w:val="Heading2"/>
      </w:pPr>
      <w:r>
        <w:t>7. Escenarios de calidad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700"/>
        <w:gridCol w:w="2600"/>
        <w:gridCol w:w="3900"/>
        <w:gridCol w:w="1820"/>
      </w:tblGrid>
      <w:tr>
        <w:trPr>
          <w:tblHeader w:val="true"/>
        </w:trPr>
        <w:tc>
          <w:tcPr>
            <w:tcW w:type="dxa" w:w="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6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Estímulo y contexto</w:t>
            </w:r>
          </w:p>
        </w:tc>
        <w:tc>
          <w:tcPr>
            <w:tcW w:type="dxa" w:w="3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Respuesta medible</w:t>
            </w:r>
          </w:p>
        </w:tc>
        <w:tc>
          <w:tcPr>
            <w:tcW w:type="dxa" w:w="1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Trazabilidad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QA-001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Cliente consulta o simula en carga normal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p95 &lt;= 2 s en consultas y &lt;= 3 s en operaciones objetivo, excluyendo proveedor externo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RNF-017,018; PBI-016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QA-002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Reintento de solicitud, contrato, desembolso o pago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Misma clave devuelve resultado compatible y no duplica efecto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RNF-015,027; PBI-019,036,037,041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QA-003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Falla tras confirmar DB antes de notificar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Outbox conserva evento y reintenta sin perder ni duplicar el negocio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RNF-010,020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QA-004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Pérdida del servicio o DB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Restauración objetivo RPO &lt;= 1 h y RTO &lt;= 4 h, sujeto a prueba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RNF-019 a 021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QA-005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interno no autorizado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Denegar por defecto, registrar intento y no filtrar datos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RNF-001 a 011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QA-006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Conexión móvil intermitente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Borrador recuperable y envío idempotente; no doble solicitud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RNF-023; PBI-021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QA-007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Cálculo financiero patrón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Mismo resultado al céntimo, cuadratura y versión de parámetros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RNF-014,027; RN-036 a 038</w:t>
            </w:r>
          </w:p>
        </w:tc>
      </w:tr>
      <w:tr>
        <w:tc>
          <w:tcPr>
            <w:tcW w:type="dxa" w:w="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QA-008</w:t>
            </w:r>
          </w:p>
        </w:tc>
        <w:tc>
          <w:tcPr>
            <w:tcW w:type="dxa" w:w="2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Pausa de originación</w:t>
            </w:r>
          </w:p>
        </w:tc>
        <w:tc>
          <w:tcPr>
            <w:tcW w:type="dxa" w:w="3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Bloquea nuevas originaciones, mantiene pagos, atención y documentos</w:t>
            </w:r>
          </w:p>
        </w:tc>
        <w:tc>
          <w:tcPr>
            <w:tcW w:type="dxa" w:w="1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RN-034,035; PBI-047</w:t>
            </w:r>
          </w:p>
        </w:tc>
      </w:tr>
    </w:tbl>
    <w:p>
      <w:pPr>
        <w:spacing w:after="40"/>
      </w:pPr>
    </w:p>
    <w:p>
      <w:pPr>
        <w:pStyle w:val="Heading2"/>
      </w:pPr>
      <w:r>
        <w:t>8. Continuidad y operación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Backups automáticos, recuperación a un punto en el tiempo y copia de objetos con versionado; prueba de restauración antes del piloto.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Despliegue reemplazable con migraciones Flyway hacia adelante; reversa aplicativa o migración compensatoria, nunca edición manual silenciosa.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Health checks separados para vivacidad y preparación; degradación controlada cuando un proveedor externo no responde.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Objetivos de disponibilidad, RPO y RTO son compromisos preliminares sujetos a costo, proveedor y prueba.</w:t>
      </w:r>
    </w:p>
    <w:p>
      <w:pPr>
        <w:pStyle w:val="Heading2"/>
      </w:pPr>
      <w:r>
        <w:t>9. Riesgos y ADR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850"/>
        <w:gridCol w:w="1900"/>
        <w:gridCol w:w="2450"/>
        <w:gridCol w:w="3820"/>
      </w:tblGrid>
      <w:tr>
        <w:trPr>
          <w:tblHeader w:val="true"/>
        </w:trPr>
        <w:tc>
          <w:tcPr>
            <w:tcW w:type="dxa" w:w="8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ADR</w:t>
            </w:r>
          </w:p>
        </w:tc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Decisión</w:t>
            </w:r>
          </w:p>
        </w:tc>
        <w:tc>
          <w:tcPr>
            <w:tcW w:type="dxa" w:w="24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3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Consecuencia / disparador de revisión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ADR-001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Monolito modular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Equipo pequeño y dominio aún en validación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Revisar solo con evidencia de escalado/equipos independientes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ADR-002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Sesión servidor + cookie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Revocación inmediata y cliente web propio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Evaluar OIDC si aparece ecosistema externo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ADR-003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PostgreSQL + S3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Consistencia transaccional y binarios fuera de DB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Validar proveedor, cifrado y residencia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ADR-004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Outbox interno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Atomicidad sin broker distribuido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Evaluar broker si volumen o desacoplamiento lo justifican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ADR-005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Docker portable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Neutralidad y reproducibilidad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implica Kubernetes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ADR-006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Mismo origen lógico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Simplifica cookies/CSRF/CORS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Revisar ante canales externos</w:t>
            </w:r>
          </w:p>
        </w:tc>
      </w:tr>
      <w:t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ADR-007</w:t>
            </w:r>
          </w:p>
        </w:tc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UTC + America/Lima</w:t>
            </w:r>
          </w:p>
        </w:tc>
        <w:tc>
          <w:tcPr>
            <w:tcW w:type="dxa" w:w="24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Instantes inequívocos y reglas locales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Probar cierres, vencimientos y horario legal</w:t>
            </w:r>
          </w:p>
        </w:tc>
      </w:tr>
    </w:tbl>
    <w:p>
      <w:pPr>
        <w:spacing w:after="40"/>
      </w:pPr>
    </w:p>
    <w:p>
      <w:pPr>
        <w:pStyle w:val="Heading2"/>
      </w:pPr>
      <w:r>
        <w:t>10. Validaciones pendientes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3500"/>
        <w:gridCol w:w="2900"/>
        <w:gridCol w:w="2620"/>
      </w:tblGrid>
      <w:tr>
        <w:trPr>
          <w:tblHeader w:val="true"/>
        </w:trPr>
        <w:tc>
          <w:tcPr>
            <w:tcW w:type="dxa" w:w="3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Materia</w:t>
            </w:r>
          </w:p>
        </w:tc>
        <w:tc>
          <w:tcPr>
            <w:tcW w:type="dxa" w:w="2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Responsable</w:t>
            </w:r>
          </w:p>
        </w:tc>
        <w:tc>
          <w:tcPr>
            <w:tcW w:type="dxa" w:w="26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Antes de</w:t>
            </w:r>
          </w:p>
        </w:tc>
      </w:tr>
      <w:tr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Proveedor/flujo KYC, PEP y riesgo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Legal y cumplimiento</w:t>
            </w:r>
          </w:p>
        </w:tc>
        <w:tc>
          <w:tcPr>
            <w:tcW w:type="dxa" w:w="2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Dinero real</w:t>
            </w:r>
          </w:p>
        </w:tc>
      </w:tr>
      <w:tr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Proveedor de desembolso, pagos y conciliación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Finanzas, contabilidad y operaciones</w:t>
            </w:r>
          </w:p>
        </w:tc>
        <w:tc>
          <w:tcPr>
            <w:tcW w:type="dxa" w:w="2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Piloto real</w:t>
            </w:r>
          </w:p>
        </w:tc>
      </w:tr>
      <w:tr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Residencia, cifrado, retención y borrado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Legal, privacidad y seguridad</w:t>
            </w:r>
          </w:p>
        </w:tc>
        <w:tc>
          <w:tcPr>
            <w:tcW w:type="dxa" w:w="2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Producción</w:t>
            </w:r>
          </w:p>
        </w:tc>
      </w:tr>
      <w:tr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SLA, capacidad, RPO/RTO y costos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Responsable técnico e inversionista</w:t>
            </w:r>
          </w:p>
        </w:tc>
        <w:tc>
          <w:tcPr>
            <w:tcW w:type="dxa" w:w="2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Contratación de infraestructura</w:t>
            </w:r>
          </w:p>
        </w:tc>
      </w:tr>
      <w:tr>
        <w:tc>
          <w:tcPr>
            <w:tcW w:type="dxa" w:w="3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Parámetros financieros y documentos contractuales</w:t>
            </w:r>
          </w:p>
        </w:tc>
        <w:tc>
          <w:tcPr>
            <w:tcW w:type="dxa" w:w="2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Financiero, abogado y contador</w:t>
            </w:r>
          </w:p>
        </w:tc>
        <w:tc>
          <w:tcPr>
            <w:tcW w:type="dxa" w:w="26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Oferta real</w:t>
            </w:r>
          </w:p>
        </w:tc>
      </w:tr>
    </w:tbl>
    <w:p>
      <w:pPr>
        <w:spacing w:after="40"/>
      </w:pP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17. ARQUITECTURA DEL SISTEMA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