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ARQUITECTURA DE SOFTWARE</w:t>
      </w:r>
    </w:p>
    <w:p>
      <w:pPr>
        <w:pStyle w:val="Heading2"/>
      </w:pPr>
      <w:r>
        <w:t>Plataforma Digital de Micropréstamos para la Región San Martín</w:t>
      </w:r>
    </w:p>
    <w:p>
      <w:r>
        <w:rPr>
          <w:rFonts w:ascii="Arial" w:hAnsi="Arial"/>
          <w:b/>
          <w:color w:val="000000"/>
          <w:sz w:val="22"/>
        </w:rPr>
        <w:t xml:space="preserve">Nombre provisional del proyecto: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Nombre comercial de la plataforma: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Versión del documento: </w:t>
      </w:r>
      <w:r>
        <w:rPr>
          <w:rFonts w:ascii="Arial" w:hAnsi="Arial"/>
          <w:color w:val="000000"/>
          <w:sz w:val="22"/>
        </w:rPr>
        <w:t>1.0</w:t>
        <w:br/>
      </w:r>
      <w:r>
        <w:rPr>
          <w:rFonts w:ascii="Arial" w:hAnsi="Arial"/>
          <w:b/>
          <w:color w:val="000000"/>
          <w:sz w:val="22"/>
        </w:rPr>
        <w:t xml:space="preserve">Fecha de elaboración: </w:t>
      </w:r>
      <w:r>
        <w:rPr>
          <w:rFonts w:ascii="Arial" w:hAnsi="Arial"/>
          <w:color w:val="000000"/>
          <w:sz w:val="22"/>
        </w:rPr>
        <w:t>15/08/2026</w:t>
        <w:br/>
      </w:r>
      <w:r>
        <w:rPr>
          <w:rFonts w:ascii="Arial" w:hAnsi="Arial"/>
          <w:b/>
          <w:color w:val="000000"/>
          <w:sz w:val="22"/>
        </w:rPr>
        <w:t xml:space="preserve">Promotor e inversionista: </w:t>
      </w:r>
      <w:r>
        <w:rPr>
          <w:rFonts w:ascii="Arial" w:hAnsi="Arial"/>
          <w:color w:val="000000"/>
          <w:sz w:val="22"/>
        </w:rPr>
        <w:t>Ing. Ronal Ríos Romero</w:t>
        <w:br/>
      </w:r>
      <w:r>
        <w:rPr>
          <w:rFonts w:ascii="Arial" w:hAnsi="Arial"/>
          <w:b/>
          <w:color w:val="000000"/>
          <w:sz w:val="22"/>
        </w:rPr>
        <w:t xml:space="preserve">Product Owner y Scrum Master: </w:t>
      </w:r>
      <w:r>
        <w:rPr>
          <w:rFonts w:ascii="Arial" w:hAnsi="Arial"/>
          <w:color w:val="000000"/>
          <w:sz w:val="22"/>
        </w:rPr>
        <w:t>Carlos Humberto Gonzales</w:t>
        <w:br/>
      </w:r>
      <w:r>
        <w:rPr>
          <w:rFonts w:ascii="Arial" w:hAnsi="Arial"/>
          <w:b/>
          <w:color w:val="000000"/>
          <w:sz w:val="22"/>
        </w:rPr>
        <w:t xml:space="preserve">Developer y responsable técnico: </w:t>
      </w:r>
      <w:r>
        <w:rPr>
          <w:rFonts w:ascii="Arial" w:hAnsi="Arial"/>
          <w:color w:val="000000"/>
          <w:sz w:val="22"/>
        </w:rPr>
        <w:t>Leonardo Jesús Gonzales</w:t>
      </w:r>
    </w:p>
    <w:p>
      <w:pPr>
        <w:pStyle w:val="Heading2"/>
      </w:pPr>
      <w:r>
        <w:t>1. Propósito y alcance</w:t>
      </w:r>
    </w:p>
    <w:p>
      <w:r>
        <w:rPr>
          <w:rFonts w:ascii="Arial" w:hAnsi="Arial"/>
          <w:color w:val="000000"/>
          <w:sz w:val="22"/>
        </w:rPr>
        <w:t>Describe la estructura interna del monolito modular, sus dependencias, transacciones, seguridad, observabilidad y estrategia de pruebas. Las versiones son una línea base compatible verificada con fuentes oficiales vigentes al 15/08/2026; las actualizaciones menores requieren pruebas de compatibilidad y ADR cuando cambie una decisión.</w:t>
      </w:r>
    </w:p>
    <w:p>
      <w:pPr>
        <w:pStyle w:val="Heading2"/>
      </w:pPr>
      <w:r>
        <w:t>Clasificación del contenido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2100"/>
        <w:gridCol w:w="6920"/>
      </w:tblGrid>
      <w:tr>
        <w:trPr>
          <w:tblHeader w:val="true"/>
        </w:trPr>
        <w:tc>
          <w:tcPr>
            <w:tcW w:type="dxa" w:w="2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Categoría</w:t>
            </w:r>
          </w:p>
        </w:tc>
        <w:tc>
          <w:tcPr>
            <w:tcW w:type="dxa" w:w="69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Tratamiento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Hecho heredado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Requisito, regla, alcance o decisión ya documentada en las fases 1 a 4.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Decisión de diseño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Línea base técnica adoptada para el MVP y modificable mediante ADR controlado.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Hipótesis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Supuesto que requiere evidencia durante desarrollo, prueba o piloto.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Validación pendiente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Materia que debe aprobar el especialista competente antes de producción o dinero real.</w:t>
            </w:r>
          </w:p>
        </w:tc>
      </w:tr>
    </w:tbl>
    <w:p>
      <w:pPr>
        <w:spacing w:after="40"/>
      </w:pPr>
    </w:p>
    <w:p>
      <w:pPr>
        <w:pStyle w:val="Heading2"/>
      </w:pPr>
      <w:r>
        <w:t>3. Stack y compatibilidad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450"/>
        <w:gridCol w:w="1800"/>
        <w:gridCol w:w="3300"/>
        <w:gridCol w:w="2470"/>
      </w:tblGrid>
      <w:tr>
        <w:trPr>
          <w:tblHeader w:val="true"/>
        </w:trPr>
        <w:tc>
          <w:tcPr>
            <w:tcW w:type="dxa" w:w="14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Capa</w:t>
            </w:r>
          </w:p>
        </w:tc>
        <w:tc>
          <w:tcPr>
            <w:tcW w:type="dxa" w:w="1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Selección</w:t>
            </w:r>
          </w:p>
        </w:tc>
        <w:tc>
          <w:tcPr>
            <w:tcW w:type="dxa" w:w="33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Uso previsto</w:t>
            </w:r>
          </w:p>
        </w:tc>
        <w:tc>
          <w:tcPr>
            <w:tcW w:type="dxa" w:w="247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Criterio</w:t>
            </w:r>
          </w:p>
        </w:tc>
      </w:tr>
      <w:tr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Backend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Java 25 LTS; Spring Boot 4.1.x; Spring Modulith 2.1.x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API, casos de uso y modularidad verificable</w:t>
            </w:r>
          </w:p>
        </w:tc>
        <w:tc>
          <w:tcPr>
            <w:tcW w:type="dxa" w:w="24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Boot 4.1 admite Java 17–26; Java 25 es LTS</w:t>
            </w:r>
          </w:p>
        </w:tc>
      </w:tr>
      <w:tr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Spring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Web MVC, Security, Session JDBC, Data JPA, Validation, Actuator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HTTP, sesión, persistencia, validación y operación</w:t>
            </w:r>
          </w:p>
        </w:tc>
        <w:tc>
          <w:tcPr>
            <w:tcW w:type="dxa" w:w="24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Convenciones maduras del monolito</w:t>
            </w:r>
          </w:p>
        </w:tc>
      </w:tr>
      <w:tr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Resiliencia/telemetría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Resilience4j, Micrometer, OpenTelemetry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timeouts, circuit breakers de adaptadores, métricas y trazas</w:t>
            </w:r>
          </w:p>
        </w:tc>
        <w:tc>
          <w:tcPr>
            <w:tcW w:type="dxa" w:w="24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ocultar fallas de negocio</w:t>
            </w:r>
          </w:p>
        </w:tc>
      </w:tr>
      <w:tr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Datos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PostgreSQL 18; Flyway 13.x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Transacciones, restricciones y migraciones</w:t>
            </w:r>
          </w:p>
        </w:tc>
        <w:tc>
          <w:tcPr>
            <w:tcW w:type="dxa" w:w="24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PG 18 soportado y Flyway declara compatibilidad</w:t>
            </w:r>
          </w:p>
        </w:tc>
      </w:tr>
      <w:tr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Frontend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Next.js 16, React 19, TypeScript 5.9, Node 24 LTS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App Router, componentes y tipado</w:t>
            </w:r>
          </w:p>
        </w:tc>
        <w:tc>
          <w:tcPr>
            <w:tcW w:type="dxa" w:w="24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Next 16 soporta despliegue Node/Docker</w:t>
            </w:r>
          </w:p>
        </w:tc>
      </w:tr>
      <w:tr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UI/datos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Tailwind 4, React Hook Form, Zod, TanStack Query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Estilo simple, formularios, esquemas cliente y estado servidor</w:t>
            </w:r>
          </w:p>
        </w:tc>
        <w:tc>
          <w:tcPr>
            <w:tcW w:type="dxa" w:w="24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Solo donde reduzca complejidad</w:t>
            </w:r>
          </w:p>
        </w:tc>
      </w:tr>
      <w:tr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Build/despliegue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Maven Wrapper, Docker, Docker Compose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Build reproducible y ejecución portable</w:t>
            </w:r>
          </w:p>
        </w:tc>
        <w:tc>
          <w:tcPr>
            <w:tcW w:type="dxa" w:w="24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Versiones fijadas; imágenes no contienen secretos</w:t>
            </w:r>
          </w:p>
        </w:tc>
      </w:tr>
    </w:tbl>
    <w:p>
      <w:pPr>
        <w:spacing w:after="40"/>
      </w:pPr>
    </w:p>
    <w:p>
      <w:pPr>
        <w:pStyle w:val="Heading2"/>
      </w:pPr>
      <w:r>
        <w:t>4. Mapa modular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1" name="Picture 1" descr="Mapa de ocho grupos modulares: acceso/privacidad, cliente/identidad, originación, riesgo/decisión, contratación, crédito, recaudación y plataforma." title="Mapa de ocho grupos modulares: acceso/privacidad, cliente/identidad, origin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odul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1. Módulos funcionales del monolito.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650"/>
        <w:gridCol w:w="2600"/>
        <w:gridCol w:w="1300"/>
        <w:gridCol w:w="1200"/>
        <w:gridCol w:w="1370"/>
        <w:gridCol w:w="900"/>
      </w:tblGrid>
      <w:tr>
        <w:trPr>
          <w:tblHeader w:val="true"/>
        </w:trPr>
        <w:tc>
          <w:tcPr>
            <w:tcW w:type="dxa" w:w="16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ID / módulo</w:t>
            </w:r>
          </w:p>
        </w:tc>
        <w:tc>
          <w:tcPr>
            <w:tcW w:type="dxa" w:w="26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Responsabilidad</w:t>
            </w:r>
          </w:p>
        </w:tc>
        <w:tc>
          <w:tcPr>
            <w:tcW w:type="dxa" w:w="13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Entidades</w:t>
            </w:r>
          </w:p>
        </w:tc>
        <w:tc>
          <w:tcPr>
            <w:tcW w:type="dxa" w:w="12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API</w:t>
            </w:r>
          </w:p>
        </w:tc>
        <w:tc>
          <w:tcPr>
            <w:tcW w:type="dxa" w:w="137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UI</w:t>
            </w:r>
          </w:p>
        </w:tc>
        <w:tc>
          <w:tcPr>
            <w:tcW w:type="dxa" w:w="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Sprint</w:t>
            </w:r>
          </w:p>
        </w:tc>
      </w:tr>
      <w:tr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MOD-001</w:t>
              <w:br/>
              <w:t>Acceso e identidad de cuenta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Cuentas, verificación, recuperación, sesiones revocables y MFA interno.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ENT-001 a 008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API-001 a 009</w:t>
            </w:r>
          </w:p>
        </w:tc>
        <w:tc>
          <w:tcPr>
            <w:tcW w:type="dxa" w:w="1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UI-001 a 005, UI-026,027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</w:t>
            </w:r>
          </w:p>
        </w:tc>
      </w:tr>
      <w:tr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MOD-002</w:t>
              <w:br/>
              <w:t>Privacidad y consentimiento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Avisos versionados, consentimientos y derechos de datos.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ENT-009,010,042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API-010,011,047</w:t>
            </w:r>
          </w:p>
        </w:tc>
        <w:tc>
          <w:tcPr>
            <w:tcW w:type="dxa" w:w="1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UI-006,024,025,045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1/4</w:t>
            </w:r>
          </w:p>
        </w:tc>
      </w:tr>
      <w:tr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MOD-003</w:t>
              <w:br/>
              <w:t>Perfil e identidad del cliente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Datos personales, domicilio regional, economía y evidencias.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ENT-011 a 018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API-012 a 020</w:t>
            </w:r>
          </w:p>
        </w:tc>
        <w:tc>
          <w:tcPr>
            <w:tcW w:type="dxa" w:w="1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UI-007 a 011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</w:tr>
      <w:tr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MOD-004</w:t>
              <w:br/>
              <w:t>Parámetros y simulación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Versionado financiero y cálculo determinista con BigDecimal.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ENT-019,020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API-021 a 023,050</w:t>
            </w:r>
          </w:p>
        </w:tc>
        <w:tc>
          <w:tcPr>
            <w:tcW w:type="dxa" w:w="1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UI-012,013,040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</w:tr>
      <w:tr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MOD-005</w:t>
              <w:br/>
              <w:t>Originación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Solicitud, estados, duplicidad, observaciones y expediente.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ENT-021,022,025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API-024 a 030</w:t>
            </w:r>
          </w:p>
        </w:tc>
        <w:tc>
          <w:tcPr>
            <w:tcW w:type="dxa" w:w="1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UI-014 a 017,028,029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2/3</w:t>
            </w:r>
          </w:p>
        </w:tc>
      </w:tr>
      <w:tr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MOD-006</w:t>
              <w:br/>
              <w:t>Riesgo y cumplimiento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Evaluación manual, KYC/PEP, decisión y doble aprobación.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ENT-023 a 028,043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API-031 a 037,051</w:t>
            </w:r>
          </w:p>
        </w:tc>
        <w:tc>
          <w:tcPr>
            <w:tcW w:type="dxa" w:w="1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UI-030 a 034,041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3</w:t>
            </w:r>
          </w:p>
        </w:tc>
      </w:tr>
      <w:tr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MOD-007</w:t>
              <w:br/>
              <w:t>Oferta y contratación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Oferta, hoja resumen, cronograma, contrato y aceptación expresa.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ENT-029 a 031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API-038 a 042</w:t>
            </w:r>
          </w:p>
        </w:tc>
        <w:tc>
          <w:tcPr>
            <w:tcW w:type="dxa" w:w="1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UI-018,019,035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3</w:t>
            </w:r>
          </w:p>
        </w:tc>
      </w:tr>
      <w:tr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MOD-008</w:t>
              <w:br/>
              <w:t>Crédito y desembolso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Desembolso, activación, préstamo y cronograma.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ENT-032 a 034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API-043 a 047</w:t>
            </w:r>
          </w:p>
        </w:tc>
        <w:tc>
          <w:tcPr>
            <w:tcW w:type="dxa" w:w="1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UI-020,021,036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</w:tr>
      <w:tr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MOD-009</w:t>
              <w:br/>
              <w:t>Pagos, mora y cobranza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Pagos, imputación, reversos, prepago, mora y regularización.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ENT-035 a 041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API-048 a 055</w:t>
            </w:r>
          </w:p>
        </w:tc>
        <w:tc>
          <w:tcPr>
            <w:tcW w:type="dxa" w:w="1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UI-022,023,037 a 039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</w:tr>
      <w:tr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MOD-010</w:t>
              <w:br/>
              <w:t>Plataforma y supervisión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Notificaciones, soporte, auditoría, reportes, pausa y outbox.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ENT-042 a 048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API-056 a 066</w:t>
            </w:r>
          </w:p>
        </w:tc>
        <w:tc>
          <w:tcPr>
            <w:tcW w:type="dxa" w:w="1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UI-024 a 027,040 a 046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1-4</w:t>
            </w:r>
          </w:p>
        </w:tc>
      </w:tr>
    </w:tbl>
    <w:p>
      <w:pPr>
        <w:spacing w:after="40"/>
      </w:pPr>
    </w:p>
    <w:p>
      <w:pPr>
        <w:pStyle w:val="Heading2"/>
      </w:pPr>
      <w:r>
        <w:t>5. Arquitectura interna y dependencias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2" name="Picture 2" descr="Adaptadores de entrada invocan casos de uso y dominio mediante puertos; adaptadores de salida implementan persistencia, almacenamiento, proveedores y outbox." title="Adaptadores de entrada invocan casos de uso y dominio mediante puertos; adapt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hexag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2. Estructura hexagonal repetible por módulo.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Cada módulo expone una API de aplicación y eventos publicados; queda prohibido leer repositorios o tablas de otro módulo como atajo.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Dirección principal: plataforma básica → cliente → originación → riesgo → contratación → crédito → recaudación; plataforma transversal recibe eventos sin invertir el dominio.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Objetos de dominio no dependen de controladores, JPA, S3 ni SDK de proveedor. Los mapeos quedan en adaptadores.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 Modulith verificará ciclos, paquetes expuestos y eventos; pruebas de módulo arrancarán solo el contexto necesario.</w:t>
      </w:r>
    </w:p>
    <w:p>
      <w:pPr>
        <w:pStyle w:val="Heading2"/>
      </w:pPr>
      <w:r>
        <w:t>6. Transacciones, concurrencia e idempotencia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800"/>
        <w:gridCol w:w="2650"/>
        <w:gridCol w:w="2450"/>
        <w:gridCol w:w="2120"/>
      </w:tblGrid>
      <w:tr>
        <w:trPr>
          <w:tblHeader w:val="true"/>
        </w:trPr>
        <w:tc>
          <w:tcPr>
            <w:tcW w:type="dxa" w:w="1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Operación</w:t>
            </w:r>
          </w:p>
        </w:tc>
        <w:tc>
          <w:tcPr>
            <w:tcW w:type="dxa" w:w="26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Límite transaccional</w:t>
            </w:r>
          </w:p>
        </w:tc>
        <w:tc>
          <w:tcPr>
            <w:tcW w:type="dxa" w:w="24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Concurrencia</w:t>
            </w:r>
          </w:p>
        </w:tc>
        <w:tc>
          <w:tcPr>
            <w:tcW w:type="dxa" w:w="2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Idempotencia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Enviar solicitud</w:t>
            </w:r>
          </w:p>
        </w:tc>
        <w:tc>
          <w:tcPr>
            <w:tcW w:type="dxa" w:w="2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Solicitud + historial + outbox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UQ una activa + optimistic lock</w:t>
            </w:r>
          </w:p>
        </w:tc>
        <w:tc>
          <w:tcPr>
            <w:tcW w:type="dxa" w:w="2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Idempotency-Key por cliente/operación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Decidir</w:t>
            </w:r>
          </w:p>
        </w:tc>
        <w:tc>
          <w:tcPr>
            <w:tcW w:type="dxa" w:w="2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Evaluación cerrada + decisión + historial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If-Match y permiso; decisión inmutable</w:t>
            </w:r>
          </w:p>
        </w:tc>
        <w:tc>
          <w:tcPr>
            <w:tcW w:type="dxa" w:w="2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Clave por solicitud y tipo de decisión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Aceptar contrato</w:t>
            </w:r>
          </w:p>
        </w:tc>
        <w:tc>
          <w:tcPr>
            <w:tcW w:type="dxa" w:w="2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Aceptación + outbox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Oferta vigente/versionada; UQ efectiva</w:t>
            </w:r>
          </w:p>
        </w:tc>
        <w:tc>
          <w:tcPr>
            <w:tcW w:type="dxa" w:w="2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Clave por oferta; reintento devuelve aceptación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Confirmar desembolso</w:t>
            </w:r>
          </w:p>
        </w:tc>
        <w:tc>
          <w:tcPr>
            <w:tcW w:type="dxa" w:w="2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Desembolso + préstamo + cuotas + outbox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UQ referencia; lock de oferta/desembolso</w:t>
            </w:r>
          </w:p>
        </w:tc>
        <w:tc>
          <w:tcPr>
            <w:tcW w:type="dxa" w:w="2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Clave de canal y referencia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Registrar pago</w:t>
            </w:r>
          </w:p>
        </w:tc>
        <w:tc>
          <w:tcPr>
            <w:tcW w:type="dxa" w:w="2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Pago + imputaciones + saldos + outbox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UQ referencia; lock préstamo/cuotas</w:t>
            </w:r>
          </w:p>
        </w:tc>
        <w:tc>
          <w:tcPr>
            <w:tcW w:type="dxa" w:w="2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Clave de canal y referencia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Revertir pago</w:t>
            </w:r>
          </w:p>
        </w:tc>
        <w:tc>
          <w:tcPr>
            <w:tcW w:type="dxa" w:w="2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Reverso + asientos compensatorios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Aprobador distinto; estado verificable</w:t>
            </w:r>
          </w:p>
        </w:tc>
        <w:tc>
          <w:tcPr>
            <w:tcW w:type="dxa" w:w="2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Una reversión efectiva por pago</w:t>
            </w:r>
          </w:p>
        </w:tc>
      </w:tr>
    </w:tbl>
    <w:p>
      <w:pPr>
        <w:spacing w:after="40"/>
      </w:pPr>
    </w:p>
    <w:p>
      <w:r>
        <w:rPr>
          <w:rFonts w:ascii="Arial" w:hAnsi="Arial"/>
          <w:color w:val="000000"/>
          <w:sz w:val="22"/>
        </w:rPr>
        <w:t>Política monetaria: Java BigDecimal con escala y RoundingMode explícitos; PostgreSQL NUMERIC; jamás double/float. El motor conserva monto, tasa, versión de parámetros, fechas, cuota, total y residuo de redondeo. La última cuota absorbe únicamente el ajuste de céntimos documentado.</w:t>
      </w:r>
    </w:p>
    <w:p>
      <w:pPr>
        <w:pStyle w:val="Heading2"/>
      </w:pPr>
      <w:r>
        <w:t>7. Eventos internos y outbox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700"/>
        <w:gridCol w:w="1450"/>
        <w:gridCol w:w="3150"/>
        <w:gridCol w:w="2720"/>
      </w:tblGrid>
      <w:tr>
        <w:trPr>
          <w:tblHeader w:val="true"/>
        </w:trPr>
        <w:tc>
          <w:tcPr>
            <w:tcW w:type="dxa" w:w="17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Evento</w:t>
            </w:r>
          </w:p>
        </w:tc>
        <w:tc>
          <w:tcPr>
            <w:tcW w:type="dxa" w:w="14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Productor</w:t>
            </w:r>
          </w:p>
        </w:tc>
        <w:tc>
          <w:tcPr>
            <w:tcW w:type="dxa" w:w="31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Consumidores</w:t>
            </w:r>
          </w:p>
        </w:tc>
        <w:tc>
          <w:tcPr>
            <w:tcW w:type="dxa" w:w="27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Garantía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ApplicationSubmitted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Originación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Notificaciones, auditoría, bandeja</w:t>
            </w:r>
          </w:p>
        </w:tc>
        <w:tc>
          <w:tcPr>
            <w:tcW w:type="dxa" w:w="2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Al menos una vez; consumidor idempotente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DecisionRecorded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Riesgo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Oferta, notificaciones, reportes</w:t>
            </w:r>
          </w:p>
        </w:tc>
        <w:tc>
          <w:tcPr>
            <w:tcW w:type="dxa" w:w="2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Decisión inmutable y correlation_id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OfferAccepted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Contratación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Desembolso, auditoría</w:t>
            </w:r>
          </w:p>
        </w:tc>
        <w:tc>
          <w:tcPr>
            <w:tcW w:type="dxa" w:w="2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activa préstamo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DisbursementConfirmed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Crédito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Préstamo, cronograma, notificación</w:t>
            </w:r>
          </w:p>
        </w:tc>
        <w:tc>
          <w:tcPr>
            <w:tcW w:type="dxa" w:w="2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Crea préstamo una sola vez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PaymentApplied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Recaudación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Saldo, notificación, reportes, mora</w:t>
            </w:r>
          </w:p>
        </w:tc>
        <w:tc>
          <w:tcPr>
            <w:tcW w:type="dxa" w:w="2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Imputaciones cuadran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PaymentReversed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Recaudación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Saldo, auditoría, reportes</w:t>
            </w:r>
          </w:p>
        </w:tc>
        <w:tc>
          <w:tcPr>
            <w:tcW w:type="dxa" w:w="2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Compensa; no elimina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LoanPastDue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Mora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Cobranza, notificaciones, reportes</w:t>
            </w:r>
          </w:p>
        </w:tc>
        <w:tc>
          <w:tcPr>
            <w:tcW w:type="dxa" w:w="2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Snapshot por fecha local</w:t>
            </w:r>
          </w:p>
        </w:tc>
      </w:tr>
    </w:tbl>
    <w:p>
      <w:pPr>
        <w:spacing w:after="40"/>
      </w:pPr>
    </w:p>
    <w:p>
      <w:pPr>
        <w:pStyle w:val="Heading2"/>
      </w:pPr>
      <w:r>
        <w:t>8. Seguridad y privacidad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Autenticación con Argon2id parametrizado y actualizable; no registrar credenciales, códigos, cookies ni secretos.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 Session JDBC: identificador opaco en cookie Secure, HttpOnly y SameSite; rotación al autenticar, expiración, revocación y límites de concurrencia.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CSRF obligatorio para mutaciones basadas en cookie; CORS cerrado por defecto; encabezados de seguridad y TLS extremo a extremo.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MFA para personal interno y acciones críticas; refuerzo para aceptación contractual y operaciones monetarias según validación legal.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RBAC y permisos finos, mínimo privilegio y separación de funciones; denegar por defecto en controlador y caso de uso.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Cifrado en tránsito y reposo, secretos en gestor dedicado, logs minimizados, exportaciones controladas y URLs S3 temporales.</w:t>
      </w:r>
    </w:p>
    <w:p>
      <w:pPr>
        <w:pStyle w:val="Heading2"/>
      </w:pPr>
      <w:r>
        <w:t>9. Estados y errores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500"/>
        <w:gridCol w:w="3300"/>
        <w:gridCol w:w="4220"/>
      </w:tblGrid>
      <w:tr>
        <w:trPr>
          <w:tblHeader w:val="true"/>
        </w:trPr>
        <w:tc>
          <w:tcPr>
            <w:tcW w:type="dxa" w:w="1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Agregado</w:t>
            </w:r>
          </w:p>
        </w:tc>
        <w:tc>
          <w:tcPr>
            <w:tcW w:type="dxa" w:w="33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Estados principales</w:t>
            </w:r>
          </w:p>
        </w:tc>
        <w:tc>
          <w:tcPr>
            <w:tcW w:type="dxa" w:w="42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Regla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Solicitud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DRAFT, SUBMITTED, IN_REVIEW, OBSERVED, APPROVED, REJECTED, CANCELLED</w:t>
            </w:r>
          </w:p>
        </w:tc>
        <w:tc>
          <w:tcPr>
            <w:tcW w:type="dxa" w:w="42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Solo transiciones declaradas; historial append-only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Oferta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DRAFT, AVAILABLE, EXPIRED, ACCEPTED, WITHDRAWN</w:t>
            </w:r>
          </w:p>
        </w:tc>
        <w:tc>
          <w:tcPr>
            <w:tcW w:type="dxa" w:w="42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Aceptación solo AVAILABLE y vigente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Desembolso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PENDING, CONFIRMED, FAILED</w:t>
            </w:r>
          </w:p>
        </w:tc>
        <w:tc>
          <w:tcPr>
            <w:tcW w:type="dxa" w:w="42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FAILED no crea deuda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Préstamo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ACTIVE, PAST_DUE, REGULARIZED, PAID, CANCELLED</w:t>
            </w:r>
          </w:p>
        </w:tc>
        <w:tc>
          <w:tcPr>
            <w:tcW w:type="dxa" w:w="42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Saldos derivados de movimientos íntegros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Pago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RECEIVED, RECONCILED, APPLIED, REVERSED, REJECTED</w:t>
            </w:r>
          </w:p>
        </w:tc>
        <w:tc>
          <w:tcPr>
            <w:tcW w:type="dxa" w:w="42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borrar; reverso compensatorio</w:t>
            </w:r>
          </w:p>
        </w:tc>
      </w:tr>
    </w:tbl>
    <w:p>
      <w:pPr>
        <w:spacing w:after="40"/>
      </w:pPr>
    </w:p>
    <w:p>
      <w:r>
        <w:rPr>
          <w:rFonts w:ascii="Arial" w:hAnsi="Arial"/>
          <w:color w:val="000000"/>
          <w:sz w:val="22"/>
        </w:rPr>
        <w:t>Los errores de API siguen RFC 9457. Las excepciones de dominio tienen código estable, título seguro, detalle no sensible, correlationId y errores por campo; nunca se devuelve stack trace.</w:t>
      </w:r>
    </w:p>
    <w:p>
      <w:pPr>
        <w:pStyle w:val="Heading2"/>
      </w:pPr>
      <w:r>
        <w:t>10. Observabilidad y operación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500"/>
        <w:gridCol w:w="3400"/>
        <w:gridCol w:w="4120"/>
      </w:tblGrid>
      <w:tr>
        <w:trPr>
          <w:tblHeader w:val="true"/>
        </w:trPr>
        <w:tc>
          <w:tcPr>
            <w:tcW w:type="dxa" w:w="1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Señal</w:t>
            </w:r>
          </w:p>
        </w:tc>
        <w:tc>
          <w:tcPr>
            <w:tcW w:type="dxa" w:w="34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Contenido permitido</w:t>
            </w:r>
          </w:p>
        </w:tc>
        <w:tc>
          <w:tcPr>
            <w:tcW w:type="dxa" w:w="4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Correlación / alerta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Logs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Evento, código, actor pseudonimizado, resultado y duración; sin datos sensibles</w:t>
            </w:r>
          </w:p>
        </w:tc>
        <w:tc>
          <w:tcPr>
            <w:tcW w:type="dxa" w:w="4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traceId, correlationId, businessKey tokenizada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Métricas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latencia, tasa de error, colas outbox, sesiones, fallos proveedor, cuadraturas</w:t>
            </w:r>
          </w:p>
        </w:tc>
        <w:tc>
          <w:tcPr>
            <w:tcW w:type="dxa" w:w="4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SLO por recorrido y alertas accionables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Trazas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saltos web/API/DB/adaptador con atributos mínimos</w:t>
            </w:r>
          </w:p>
        </w:tc>
        <w:tc>
          <w:tcPr>
            <w:tcW w:type="dxa" w:w="4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OpenTelemetry; muestreo y control de acceso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Auditoría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quién, qué, sujeto, antes/después permitido, motivo y resultado</w:t>
            </w:r>
          </w:p>
        </w:tc>
        <w:tc>
          <w:tcPr>
            <w:tcW w:type="dxa" w:w="4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Almacén lógico append-only; consulta restringida</w:t>
            </w:r>
          </w:p>
        </w:tc>
      </w:tr>
    </w:tbl>
    <w:p>
      <w:pPr>
        <w:spacing w:after="40"/>
      </w:pPr>
    </w:p>
    <w:p>
      <w:pPr>
        <w:pStyle w:val="Heading2"/>
      </w:pPr>
      <w:r>
        <w:t>11. Estrategia de pruebas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500"/>
        <w:gridCol w:w="3500"/>
        <w:gridCol w:w="4020"/>
      </w:tblGrid>
      <w:tr>
        <w:trPr>
          <w:tblHeader w:val="true"/>
        </w:trPr>
        <w:tc>
          <w:tcPr>
            <w:tcW w:type="dxa" w:w="1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Nivel</w:t>
            </w:r>
          </w:p>
        </w:tc>
        <w:tc>
          <w:tcPr>
            <w:tcW w:type="dxa" w:w="3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Objetivo</w:t>
            </w:r>
          </w:p>
        </w:tc>
        <w:tc>
          <w:tcPr>
            <w:tcW w:type="dxa" w:w="40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Evidencia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Dominio</w:t>
            </w:r>
          </w:p>
        </w:tc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Fórmulas, estados, elegibilidad, mora e imputación</w:t>
            </w:r>
          </w:p>
        </w:tc>
        <w:tc>
          <w:tcPr>
            <w:tcW w:type="dxa" w:w="4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Casos patrón al céntimo y property-based para invariantes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Módulo</w:t>
            </w:r>
          </w:p>
        </w:tc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Puertos, transacciones, eventos y permisos</w:t>
            </w:r>
          </w:p>
        </w:tc>
        <w:tc>
          <w:tcPr>
            <w:tcW w:type="dxa" w:w="4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Spring Modulith + Testcontainers PostgreSQL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Contrato/API</w:t>
            </w:r>
          </w:p>
        </w:tc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OpenAPI, RFC 9457, permisos, idempotencia y concurrencia</w:t>
            </w:r>
          </w:p>
        </w:tc>
        <w:tc>
          <w:tcPr>
            <w:tcW w:type="dxa" w:w="4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Pruebas automáticas de contrato y negativas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Frontend</w:t>
            </w:r>
          </w:p>
        </w:tc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Estados, formularios y accesibilidad</w:t>
            </w:r>
          </w:p>
        </w:tc>
        <w:tc>
          <w:tcPr>
            <w:tcW w:type="dxa" w:w="4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Componentes, integración y revisión WCAG 2.2 AA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Extremo a extremo</w:t>
            </w:r>
          </w:p>
        </w:tc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15 casos de uso y recorridos críticos</w:t>
            </w:r>
          </w:p>
        </w:tc>
        <w:tc>
          <w:tcPr>
            <w:tcW w:type="dxa" w:w="4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Datos sintéticos; evidencia por sprint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Seguridad</w:t>
            </w:r>
          </w:p>
        </w:tc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ASVS, dependencias, secretos, sesión, CSRF y autorización</w:t>
            </w:r>
          </w:p>
        </w:tc>
        <w:tc>
          <w:tcPr>
            <w:tcW w:type="dxa" w:w="4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SAST/SCA, pruebas dinámicas y revisión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Operación</w:t>
            </w:r>
          </w:p>
        </w:tc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Carga, backup/restore, migración y degradación</w:t>
            </w:r>
          </w:p>
        </w:tc>
        <w:tc>
          <w:tcPr>
            <w:tcW w:type="dxa" w:w="4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Resultados p95, RPO/RTO y runbooks</w:t>
            </w:r>
          </w:p>
        </w:tc>
      </w:tr>
    </w:tbl>
    <w:p>
      <w:pPr>
        <w:spacing w:after="40"/>
      </w:pPr>
    </w:p>
    <w:p>
      <w:pPr>
        <w:pStyle w:val="Heading2"/>
      </w:pPr>
      <w:r>
        <w:t>12. Estructura lógica del repositorio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2000"/>
        <w:gridCol w:w="7020"/>
      </w:tblGrid>
      <w:tr>
        <w:trPr>
          <w:tblHeader w:val="true"/>
        </w:trPr>
        <w:tc>
          <w:tcPr>
            <w:tcW w:type="dxa" w:w="20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Área</w:t>
            </w:r>
          </w:p>
        </w:tc>
        <w:tc>
          <w:tcPr>
            <w:tcW w:type="dxa" w:w="70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backend/</w:t>
            </w:r>
          </w:p>
        </w:tc>
        <w:tc>
          <w:tcPr>
            <w:tcW w:type="dxa" w:w="7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Maven Wrapper; módulos por dominio; aplicación de arranque; migraciones Flyway; pruebas.</w:t>
            </w:r>
          </w:p>
        </w:tc>
      </w:tr>
      <w:tr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frontend/</w:t>
            </w:r>
          </w:p>
        </w:tc>
        <w:tc>
          <w:tcPr>
            <w:tcW w:type="dxa" w:w="7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Next.js App Router; features por recorrido; componentes compartidos; esquemas Zod; pruebas.</w:t>
            </w:r>
          </w:p>
        </w:tc>
      </w:tr>
      <w:tr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contracts/</w:t>
            </w:r>
          </w:p>
        </w:tc>
        <w:tc>
          <w:tcPr>
            <w:tcW w:type="dxa" w:w="7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OpenAPI 3.1.2 fuente, ejemplos y reglas de compatibilidad.</w:t>
            </w:r>
          </w:p>
        </w:tc>
      </w:tr>
      <w:tr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deploy/</w:t>
            </w:r>
          </w:p>
        </w:tc>
        <w:tc>
          <w:tcPr>
            <w:tcW w:type="dxa" w:w="7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Dockerfiles, Compose local, configuración de ambiente sin secretos.</w:t>
            </w:r>
          </w:p>
        </w:tc>
      </w:tr>
      <w:tr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docs/decisions/</w:t>
            </w:r>
          </w:p>
        </w:tc>
        <w:tc>
          <w:tcPr>
            <w:tcW w:type="dxa" w:w="7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ADR numerados, diagramas fuente y validaciones técnicas.</w:t>
            </w:r>
          </w:p>
        </w:tc>
      </w:tr>
    </w:tbl>
    <w:p>
      <w:pPr>
        <w:spacing w:after="40"/>
      </w:pPr>
    </w:p>
    <w:p>
      <w:pPr>
        <w:pStyle w:val="Heading2"/>
      </w:pPr>
      <w:r>
        <w:t>13. Validaciones pendientes</w:t>
      </w:r>
    </w:p>
    <w:p>
      <w:r>
        <w:rPr>
          <w:rFonts w:ascii="Arial" w:hAnsi="Arial"/>
          <w:color w:val="000000"/>
          <w:sz w:val="22"/>
        </w:rPr>
        <w:t>Deben aprobarse antes del piloto real: parámetros Argon2id y MFA, matriz de segregación, clasificación/retención, proveedor de identidad/riesgo, mecanismo contractual, canal de dinero, SLO/capacidad y presupuesto de infraestructura. La arquitectura no convierte hipótesis financieras o legales en políticas aprobadas.</w:t>
      </w:r>
    </w:p>
    <w:p>
      <w:pPr>
        <w:pStyle w:val="Heading2"/>
      </w:pPr>
      <w:r>
        <w:t>Fuentes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Guía Maestra de Documentación de San Martín Finanzas; Plan de Desarrollo y Entregas del MVP; documentos oficiales 1 al 16.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Oracle. Java SE Support Roadmap (Java 25 LTS): https://www.oracle.com/asean/java/technologies/java-se-support-roadmap.html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Spring. Spring Boot 4.1 system requirements y referencia: https://docs.spring.io/spring-boot/system-requirements.html y https://docs.spring.io/spring-boot/index.html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Spring. Spring Modulith 2.1 reference: https://docs.spring.io/spring-modulith/reference/index.html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 Security. Session Management: https://docs.spring.io/spring-security/reference/servlet/authentication/session-management.html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PostgreSQL Global Development Group. Versioning Policy: https://www.postgresql.org/support/versioning/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Redgate. Flyway Supported Database Versions: https://documentation.red-gate.com/fd/supported-database-versions-143754067.html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Vercel. Next.js installation and system requirements: https://nextjs.org/docs/app/getting-started/installation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OpenJS Foundation. Node.js releases: https://nodejs.org/en/about/previous-releases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OpenAPI Initiative. OpenAPI Specification 3.1.2: https://spec.openapis.org/oas/v3.1.2.html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IETF. RFC 9457, Problem Details for HTTP APIs: https://www.rfc-editor.org/rfc/rfc9457.html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OWASP. ASVS 5.0.0: https://owasp.org/www-project-application-security-verification-standard/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18. ARQUITECTURA DE SOFTWARE</dc:title>
  <dc:subject>Fase 5 - Diseño del sistema</dc:subject>
  <dc:creator>San Martin Finanzas</dc:creator>
  <cp:keywords>arquitectura, software, datos, API, UI UX, microprestamos, San Martin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