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MODELO DE DATOS</w:t>
      </w:r>
    </w:p>
    <w:p>
      <w:pPr>
        <w:pStyle w:val="Heading2"/>
      </w:pPr>
      <w:r>
        <w:t>Plataforma Digital de Micropréstamos para la Región San Martín</w:t>
      </w:r>
    </w:p>
    <w:p>
      <w:r>
        <w:rPr>
          <w:rFonts w:ascii="Arial" w:hAnsi="Arial"/>
          <w:b/>
          <w:color w:val="000000"/>
          <w:sz w:val="22"/>
        </w:rPr>
        <w:t xml:space="preserve">Nombre provisional del proyecto: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Nombre comercial de la plataforma: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Versión del documento: </w:t>
      </w:r>
      <w:r>
        <w:rPr>
          <w:rFonts w:ascii="Arial" w:hAnsi="Arial"/>
          <w:color w:val="000000"/>
          <w:sz w:val="22"/>
        </w:rPr>
        <w:t>1.0</w:t>
        <w:br/>
      </w:r>
      <w:r>
        <w:rPr>
          <w:rFonts w:ascii="Arial" w:hAnsi="Arial"/>
          <w:b/>
          <w:color w:val="000000"/>
          <w:sz w:val="22"/>
        </w:rPr>
        <w:t xml:space="preserve">Fecha de elaboración: </w:t>
      </w:r>
      <w:r>
        <w:rPr>
          <w:rFonts w:ascii="Arial" w:hAnsi="Arial"/>
          <w:color w:val="000000"/>
          <w:sz w:val="22"/>
        </w:rPr>
        <w:t>15/08/2026</w:t>
        <w:br/>
      </w:r>
      <w:r>
        <w:rPr>
          <w:rFonts w:ascii="Arial" w:hAnsi="Arial"/>
          <w:b/>
          <w:color w:val="000000"/>
          <w:sz w:val="22"/>
        </w:rPr>
        <w:t xml:space="preserve">Promotor e inversionista: </w:t>
      </w:r>
      <w:r>
        <w:rPr>
          <w:rFonts w:ascii="Arial" w:hAnsi="Arial"/>
          <w:color w:val="000000"/>
          <w:sz w:val="22"/>
        </w:rPr>
        <w:t>Ing. Ronal Ríos Romero</w:t>
        <w:br/>
      </w:r>
      <w:r>
        <w:rPr>
          <w:rFonts w:ascii="Arial" w:hAnsi="Arial"/>
          <w:b/>
          <w:color w:val="000000"/>
          <w:sz w:val="22"/>
        </w:rPr>
        <w:t xml:space="preserve">Product Owner y Scrum Master: </w:t>
      </w:r>
      <w:r>
        <w:rPr>
          <w:rFonts w:ascii="Arial" w:hAnsi="Arial"/>
          <w:color w:val="000000"/>
          <w:sz w:val="22"/>
        </w:rPr>
        <w:t>Carlos Humberto Gonzales</w:t>
        <w:br/>
      </w:r>
      <w:r>
        <w:rPr>
          <w:rFonts w:ascii="Arial" w:hAnsi="Arial"/>
          <w:b/>
          <w:color w:val="000000"/>
          <w:sz w:val="22"/>
        </w:rPr>
        <w:t xml:space="preserve">Developer y responsable técnico: </w:t>
      </w:r>
      <w:r>
        <w:rPr>
          <w:rFonts w:ascii="Arial" w:hAnsi="Arial"/>
          <w:color w:val="000000"/>
          <w:sz w:val="22"/>
        </w:rPr>
        <w:t>Leonardo Jesús Gonzales</w:t>
      </w:r>
    </w:p>
    <w:p>
      <w:pPr>
        <w:pStyle w:val="Heading2"/>
      </w:pPr>
      <w:r>
        <w:t>1. Propósito y alcance</w:t>
      </w:r>
    </w:p>
    <w:p>
      <w:r>
        <w:rPr>
          <w:rFonts w:ascii="Arial" w:hAnsi="Arial"/>
          <w:color w:val="000000"/>
          <w:sz w:val="22"/>
        </w:rPr>
        <w:t>Define el modelo lógico y físico preliminar de PostgreSQL para el MVP. Los nombres son canónicos para los documentos 20 a 22. No es un script de migración: claves, restricciones y retenciones deben convertirse en Flyway y verificarse durante implementación.</w:t>
      </w:r>
    </w:p>
    <w:p>
      <w:pPr>
        <w:pStyle w:val="Heading2"/>
      </w:pPr>
      <w:r>
        <w:t>Clasificación del contenido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2100"/>
        <w:gridCol w:w="6920"/>
      </w:tblGrid>
      <w:tr>
        <w:trPr>
          <w:tblHeader w:val="true"/>
        </w:trPr>
        <w:tc>
          <w:tcPr>
            <w:tcW w:type="dxa" w:w="21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Categoría</w:t>
            </w:r>
          </w:p>
        </w:tc>
        <w:tc>
          <w:tcPr>
            <w:tcW w:type="dxa" w:w="69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Tratamiento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Hecho heredado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Requisito, regla, alcance o decisión ya documentada en las fases 1 a 4.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Decisión de diseño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Línea base técnica adoptada para el MVP y modificable mediante ADR controlado.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Hipótesis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Supuesto que requiere evidencia durante desarrollo, prueba o piloto.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Validación pendiente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Materia que debe aprobar el especialista competente antes de producción o dinero real.</w:t>
            </w:r>
          </w:p>
        </w:tc>
      </w:tr>
    </w:tbl>
    <w:p>
      <w:pPr>
        <w:spacing w:after="40"/>
      </w:pPr>
    </w:p>
    <w:p>
      <w:pPr>
        <w:pStyle w:val="Heading2"/>
      </w:pPr>
      <w:r>
        <w:t>3. Convenciones físicas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Esquema lógico por módulo o prefijo controlado; nombres snake_case en inglés técnico y vocabulario de negocio en español en la documentación.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PK UUIDv7 generados en aplicación o mecanismo compatible; referencias externas nunca se usan como PK.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Dinero NUMERIC(19,2), moneda CHAR(3); tasas NUMERIC(12,8); instantes TIMESTAMPTZ UTC; fechas de vencimiento DATE interpretadas en America/Lima.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Campos created_at, updated_at y version cuando haya edición concurrente; historial y finanzas se corrigen con eventos compensatorios.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JSONB solo para evidencia variable, payload outbox o filtros; no sustituye relaciones, restricciones ni columnas consultables.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Documentos en S3 compatible: object_key opaco, SHA-256, tamaño, MIME y estado en PostgreSQL.</w:t>
      </w:r>
    </w:p>
    <w:p>
      <w:pPr>
        <w:pStyle w:val="Heading2"/>
      </w:pPr>
      <w:r>
        <w:t>4. Catálogo de entidades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150"/>
        <w:gridCol w:w="1350"/>
        <w:gridCol w:w="1450"/>
        <w:gridCol w:w="2100"/>
        <w:gridCol w:w="2050"/>
        <w:gridCol w:w="920"/>
      </w:tblGrid>
      <w:tr>
        <w:trPr>
          <w:tblHeader w:val="true"/>
        </w:trPr>
        <w:tc>
          <w:tcPr>
            <w:tcW w:type="dxa" w:w="11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ID / tabla</w:t>
            </w:r>
          </w:p>
        </w:tc>
        <w:tc>
          <w:tcPr>
            <w:tcW w:type="dxa" w:w="13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Propósito</w:t>
            </w:r>
          </w:p>
        </w:tc>
        <w:tc>
          <w:tcPr>
            <w:tcW w:type="dxa" w:w="14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PK / FK principal</w:t>
            </w:r>
          </w:p>
        </w:tc>
        <w:tc>
          <w:tcPr>
            <w:tcW w:type="dxa" w:w="21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Atributos relevantes</w:t>
            </w:r>
          </w:p>
        </w:tc>
        <w:tc>
          <w:tcPr>
            <w:tcW w:type="dxa" w:w="20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Restricciones e índices</w:t>
            </w:r>
          </w:p>
        </w:tc>
        <w:tc>
          <w:tcPr>
            <w:tcW w:type="dxa" w:w="9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Clasificación / retención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3"/>
              </w:rPr>
              <w:t>ENT-001</w:t>
              <w:br/>
              <w:t>person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Persona natural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person_id uuid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document_type varchar(20); document_number varchar(32); names varchar(160); birth_date date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tipo+documento normalizado; mayoría de edad al originar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Confidencial / plazo legal pendiente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3"/>
              </w:rPr>
              <w:t>ENT-002</w:t>
              <w:br/>
              <w:t>account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Cuenta de acceso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account_id uuid; person_id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login_normalized varchar(254); password_hash varchar(255); status varchar(20); version bigint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login; CHECK estado; bloqueo temporal; optimistic version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Restringido / vida de relación + plazo aprobado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ENT-003</w:t>
              <w:br/>
              <w:t>contact_method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Medio de contacto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contact_method_id uuid; person_id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type; value_normalized; verified_at timestamptz; is_primary boolean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tipo+valor; un primario por tipo/persona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Confidencial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ENT-004</w:t>
              <w:br/>
              <w:t>verification_challenge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Desafío temporal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challenge_id uuid; account_id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purpose; secret_hash; expires_at; attempt_count; consumed_at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Hash, expiración, límites; nunca guardar código claro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Restringido / eliminación corta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ENT-005</w:t>
              <w:br/>
              <w:t>user_session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Sesión revocable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session_id varchar(128); account_id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created_at; last_seen_at; expires_at; ip_hash; user_agent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Índice account+expires; revocación; datos mínimos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Restringido / corto plazo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3"/>
              </w:rPr>
              <w:t>ENT-006</w:t>
              <w:br/>
              <w:t>role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Rol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role_id uuid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code varchar(40); name; active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code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Interno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ENT-007</w:t>
              <w:br/>
              <w:t>permission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Permiso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permission_id uuid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code varchar(80); description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code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Interno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ENT-008</w:t>
              <w:br/>
              <w:t>account_role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Asignación de rol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account_id FK + role_id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valid_from; valid_to; assigned_by FK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PK compuesta; no autoasignación; separación de funciones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Restringido / auditable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ENT-009</w:t>
              <w:br/>
              <w:t>notice_version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Aviso versionado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notice_version_id uuid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type; version; content_hash; effective_from; object_key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tipo+versión; contenido inmutable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Público/metadato; documento según ley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3"/>
              </w:rPr>
              <w:t>ENT-010</w:t>
              <w:br/>
              <w:t>consent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Decisión de consentimiento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consent_id uuid; person_id FK; notice_version_id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purpose; decision; decided_at; evidence jsonb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persona+aviso+finalidad; evidencia append-only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Confidencial / plazo legal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ENT-011</w:t>
              <w:br/>
              <w:t>customer_profile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Perfil de cliente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profile_id uuid; person_id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occupation; marital_status; dependents; completed_at; version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Un perfil vigente por persona; historial de cambios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Confidencial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3"/>
              </w:rPr>
              <w:t>ENT-012</w:t>
              <w:br/>
              <w:t>address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Domicilio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address_id uuid; profile_id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department; province; district; line1; reference; verified_at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Departamento San Martín para elegibilidad, salvo decisión autorizada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Confidencial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ENT-013</w:t>
              <w:br/>
              <w:t>economic_profile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Perfil económico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economic_profile_id uuid; profile_id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monthly_income numeric(19,2); currency char(3); employment_type; as_of_date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Monto &gt;=0; PEN línea base; vigencia controlada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ENT-014</w:t>
              <w:br/>
              <w:t>income_source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Fuente de ingreso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income_source_id uuid; economic_profile_id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type; amount numeric(19,2); frequency; evidence_document_id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Monto &gt;0; coherencia con ingreso agregado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ENT-015</w:t>
              <w:br/>
              <w:t>obligation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Obligación declarada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obligation_id uuid; economic_profile_id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creditor; monthly_payment numeric(19,2); outstanding_balance numeric(19,2)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Montos &gt;=0; fecha de corte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3"/>
              </w:rPr>
              <w:t>ENT-016</w:t>
              <w:br/>
              <w:t>document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Documento del expediente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document_id uuid; owner_person_id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category; status; current_version_id; created_at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Sin binario en DB; autorización por propietario/caso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ENT-017</w:t>
              <w:br/>
              <w:t>document_version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Versión documental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document_version_id uuid; document_id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object_key; sha256 char(64); mime_type; size_bytes; created_at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sha256+document; antivirus/validación antes de AVAILABLE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 / plazo legal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ENT-018</w:t>
              <w:br/>
              <w:t>document_link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Vínculo documental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document_link_id uuid; document_id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subject_type; subject_id uuid; purpose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documento+sujeto+propósito; sujeto permitido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ENT-019</w:t>
              <w:br/>
              <w:t>financial_parameter_set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Parámetros financieros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parameter_set_id uuid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version; segment; min/max numeric; term_months smallint[]; tea numeric(12,8); grace_days; moratory_tea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versión+segmento; vigencias no solapadas; APPROVED requerido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Restringido / permanente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ENT-020</w:t>
              <w:br/>
              <w:t>simulation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Simulación no vinculante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simulation_id uuid; person_id FK opcional; parameter_set_id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principal; term; tea; tcea_estimated; installment; total; cost_per_100; expires_at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Snapshot reproducible; money numeric(19,2); rate numeric(12,8)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Confidencial / plazo analítico aprobado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ENT-021</w:t>
              <w:br/>
              <w:t>credit_application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Solicitud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application_id uuid; person_id FK; simulation_id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application_no varchar(30); status; submitted_at; requested_amount; term; version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application_no; una activa por persona; máquina de estados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 / plazo legal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ENT-022</w:t>
              <w:br/>
              <w:t>application_state_history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Historial de solicitud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history_id uuid; application_id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from_state; to_state; reason_code; actor_account_id; occurred_at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Append-only; transición válida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Restringido / permanente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ENT-023</w:t>
              <w:br/>
              <w:t>evaluation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Evaluación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evaluation_id uuid; application_id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status; capacity_ratio numeric(12,8); summary; started/completed_at; version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Una vigente; cierre requiere dimensiones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ENT-024</w:t>
              <w:br/>
              <w:t>evaluation_dimension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Dimensión evaluada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dimension_id uuid; evaluation_id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type; outcome; rationale; evidence jsonb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evaluación+tipo; evidencia mínima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ENT-025</w:t>
              <w:br/>
              <w:t>observation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Observación / subsanación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observation_id uuid; application_id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category; message; due_at; status; resolved_at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No exponer señales antifraude; cierre trazable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Confidencial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ENT-026</w:t>
              <w:br/>
              <w:t>compliance_check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Control de cumplimiento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check_id uuid; application_id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type; provider_ref; outcome; checked_at; evidence_hash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Proveedor pendiente; falla no aprueba; revisión manual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Restringido / plazo legal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ENT-027</w:t>
              <w:br/>
              <w:t>credit_decision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Decisión crediticia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decision_id uuid; application_id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outcome; approved_amount; term; tea; reason_code; decided_by; decided_at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Inmutable; motivo obligatorio; parámetros dentro de límites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 / permanente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3"/>
              </w:rPr>
              <w:t>ENT-028</w:t>
              <w:br/>
              <w:t>approval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Aprobación reforzada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approval_id uuid; decision_id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approval_type; outcome; approved_by; approved_at; comment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Aprobador distinto cuando corresponda; UQ decisión+tipo+actor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Restringido / permanente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3"/>
              </w:rPr>
              <w:t>ENT-029</w:t>
              <w:br/>
              <w:t>offer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Oferta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offer_id uuid; decision_id FK; parameter_set_id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offer_no; amount; term; tea; tcea; installment; total; valid_until; status; version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offer_no; snapshot; expiración; no mutar tras aceptación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ENT-030</w:t>
              <w:br/>
              <w:t>contractual_document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Documento contractual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contract_document_id uuid; offer_id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type; version; object_key; sha256; generated_at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oferta+tipo+versión; hash verificable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 / plazo legal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ENT-031</w:t>
              <w:br/>
              <w:t>contract_acceptance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Aceptación contractual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acceptance_id uuid; offer_id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accepted_at; account_id; challenge_id; ip_hash; evidence jsonb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Una aceptación efectiva; oferta vigente; evidencia append-only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 / permanente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ENT-032</w:t>
              <w:br/>
              <w:t>disbursement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Desembolso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disbursement_id uuid; offer_id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reference; amount; status; attempted_at; confirmed_at; failure_code; version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canal+referencia; amount=oferta; préstamo solo CONFIRMED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 / permanente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3"/>
              </w:rPr>
              <w:t>ENT-033</w:t>
              <w:br/>
              <w:t>loan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Préstamo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loan_id uuid; disbursement_id FK; person_id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loan_no; principal; tea; tcea; status; outstanding_principal; activated_at; version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loan_no; importes &gt;=0; estado controlado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 / permanente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ENT-034</w:t>
              <w:br/>
              <w:t>installment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Cuota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installment_id uuid; loan_id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sequence smallint; due_date; principal_due; interest_due; amount_due; paid_amount; status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préstamo+secuencia; sumas cuadran al céntimo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 / permanente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3"/>
              </w:rPr>
              <w:t>ENT-035</w:t>
              <w:br/>
              <w:t>payment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Pago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payment_id uuid; loan_id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external_reference; amount; paid_at; received_at; status; channel; version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canal+referencia; monto &gt;0; idempotente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 / permanente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ENT-036</w:t>
              <w:br/>
              <w:t>payment_allocation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Imputación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allocation_id uuid; payment_id FK; installment_id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component; amount; applied_at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Suma imputada &lt;= pago; orden RN-022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 / permanente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ENT-037</w:t>
              <w:br/>
              <w:t>payment_reversal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Reverso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reversal_id uuid; payment_id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reason; approved_by; reversed_at; compensating_payment_id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No borra; doble control; un reverso efectivo por pago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Restringido / permanente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ENT-038</w:t>
              <w:br/>
              <w:t>prepayment_quote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Liquidación anticipada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quote_id uuid; loan_id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principal; accrued_interest; other_amount; total; valid_until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Sin penalidad; expiración; snapshot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Confidencial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ENT-039</w:t>
              <w:br/>
              <w:t>delinquency_snapshot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Corte de mora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snapshot_id uuid; loan_id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as_of_date; overdue_principal; days_past_due; grace_applied; moratory_interest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UQ préstamo+fecha; mora sobre capital vencido; sin capitalización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 / permanente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ENT-040</w:t>
              <w:br/>
              <w:t>collection_action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Gestión de cobranza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action_id uuid; loan_id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channel; outcome; contact_at; actor_id; notes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Horario/canal permitido; lenguaje respetuoso; auditable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Confidencial / plazo legal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ENT-041</w:t>
              <w:br/>
              <w:t>regularization_agreement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Acuerdo de regularización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agreement_id uuid; loan_id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terms jsonb; status; approved_by; accepted_at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No altera saldo sin asientos compensatorios; aprobación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 / permanente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ENT-042</w:t>
              <w:br/>
              <w:t>notification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Notificación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notification_id uuid; person_id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template_version; channel; purpose; status; scheduled_at; sent_at; provider_ref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No incluir datos sensibles; idempotencia por evento+canal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Confidencial / plazo operativo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ENT-043</w:t>
              <w:br/>
              <w:t>service_case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Caso de atención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case_id uuid; person_id FK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type; status; due_at; assigned_to; resolution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Plazos y acceso por tipo; historial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Altamente confidencial / plazo legal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ENT-044</w:t>
              <w:br/>
              <w:t>audit_event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Evento de auditoría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audit_event_id uuid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occurred_at; actor_id; action; subject_type; subject_id; result; correlation_id; details jsonb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Append-only; sin secretos; índice sujeto/fecha/correlación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Restringido / mínimo 2 años o mayor aprobado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ENT-045</w:t>
              <w:br/>
              <w:t>outbox_event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Evento transaccional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outbox_event_id uuid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aggregate_type/id; event_type; payload jsonb; occurred_at; published_at; attempts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Insertado en misma transacción; UQ id; reintentos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Restringido / plazo técnico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ENT-046</w:t>
              <w:br/>
              <w:t>origination_pause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Pausa de originación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pause_id uuid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scope; reason; starts_at; ends_at; approved_by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No bloquea pagos/atención; aprobación y auditoría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Restringido / permanente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ENT-047</w:t>
              <w:br/>
              <w:t>report_snapshot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Corte de reporte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report_id uuid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type; as_of; filters jsonb; object_key; sha256; generated_by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Reproducible; acceso mínimo; no usar como fuente transaccional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Restringido / plazo aprobado</w:t>
            </w:r>
          </w:p>
        </w:tc>
      </w:tr>
      <w:tr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ENT-048</w:t>
              <w:br/>
              <w:t>integration_attempt</w:t>
            </w:r>
          </w:p>
        </w:tc>
        <w:tc>
          <w:tcPr>
            <w:tcW w:type="dxa" w:w="1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Intento de integración</w:t>
            </w:r>
          </w:p>
        </w:tc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attempt_id uuid</w:t>
            </w:r>
          </w:p>
        </w:tc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provider_type; operation; business_key; status; attempted_at; next_retry_at; response_code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Sin payload sensible; UQ proveedor+operación+business_key+intento</w:t>
            </w:r>
          </w:p>
        </w:tc>
        <w:tc>
          <w:tcPr>
            <w:tcW w:type="dxa" w:w="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3"/>
              </w:rPr>
              <w:t>Restringido / plazo técnico</w:t>
            </w:r>
          </w:p>
        </w:tc>
      </w:tr>
    </w:tbl>
    <w:p>
      <w:pPr>
        <w:spacing w:after="40"/>
      </w:pPr>
    </w:p>
    <w:p>
      <w:pPr>
        <w:pStyle w:val="Heading2"/>
      </w:pPr>
      <w:r>
        <w:t>5. Integridad financiera y temporal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2000"/>
        <w:gridCol w:w="3900"/>
        <w:gridCol w:w="3120"/>
      </w:tblGrid>
      <w:tr>
        <w:trPr>
          <w:tblHeader w:val="true"/>
        </w:trPr>
        <w:tc>
          <w:tcPr>
            <w:tcW w:type="dxa" w:w="20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Invariante</w:t>
            </w:r>
          </w:p>
        </w:tc>
        <w:tc>
          <w:tcPr>
            <w:tcW w:type="dxa" w:w="3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Implementación preliminar</w:t>
            </w:r>
          </w:p>
        </w:tc>
        <w:tc>
          <w:tcPr>
            <w:tcW w:type="dxa" w:w="3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Verificación</w:t>
            </w:r>
          </w:p>
        </w:tc>
      </w:tr>
      <w:tr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Parámetros históricos no cambian</w:t>
            </w:r>
          </w:p>
        </w:tc>
        <w:tc>
          <w:tcPr>
            <w:tcW w:type="dxa" w:w="3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FK a financial_parameter_set aprobado y snapshots en simulación/oferta/préstamo</w:t>
            </w:r>
          </w:p>
        </w:tc>
        <w:tc>
          <w:tcPr>
            <w:tcW w:type="dxa" w:w="3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Comparar recálculo con versión original</w:t>
            </w:r>
          </w:p>
        </w:tc>
      </w:tr>
      <w:tr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Desembolso fallido no crea deuda</w:t>
            </w:r>
          </w:p>
        </w:tc>
        <w:tc>
          <w:tcPr>
            <w:tcW w:type="dxa" w:w="3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loan.disbursement_id solo referencia CONFIRMED mediante caso de uso/transacción</w:t>
            </w:r>
          </w:p>
        </w:tc>
        <w:tc>
          <w:tcPr>
            <w:tcW w:type="dxa" w:w="3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negativa y consulta huérfanos</w:t>
            </w:r>
          </w:p>
        </w:tc>
      </w:tr>
      <w:tr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Cronograma cuadra</w:t>
            </w:r>
          </w:p>
        </w:tc>
        <w:tc>
          <w:tcPr>
            <w:tcW w:type="dxa" w:w="3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SUM principal_due = principal; SUM amount_due = total; secuencia única</w:t>
            </w:r>
          </w:p>
        </w:tc>
        <w:tc>
          <w:tcPr>
            <w:tcW w:type="dxa" w:w="3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Casos patrón y constraint/validación diferida</w:t>
            </w:r>
          </w:p>
        </w:tc>
      </w:tr>
      <w:tr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Pago no se duplica</w:t>
            </w:r>
          </w:p>
        </w:tc>
        <w:tc>
          <w:tcPr>
            <w:tcW w:type="dxa" w:w="3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UQ canal+external_reference; Idempotency-Key</w:t>
            </w:r>
          </w:p>
        </w:tc>
        <w:tc>
          <w:tcPr>
            <w:tcW w:type="dxa" w:w="3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Reintentos paralelos</w:t>
            </w:r>
          </w:p>
        </w:tc>
      </w:tr>
      <w:tr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Imputación conserva monto</w:t>
            </w:r>
          </w:p>
        </w:tc>
        <w:tc>
          <w:tcPr>
            <w:tcW w:type="dxa" w:w="3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SUM allocation &lt;= payment.amount; saldo derivado transaccionalmente</w:t>
            </w:r>
          </w:p>
        </w:tc>
        <w:tc>
          <w:tcPr>
            <w:tcW w:type="dxa" w:w="3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Prueba de conciliación y lock</w:t>
            </w:r>
          </w:p>
        </w:tc>
      </w:tr>
      <w:tr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Reverso no borra</w:t>
            </w:r>
          </w:p>
        </w:tc>
        <w:tc>
          <w:tcPr>
            <w:tcW w:type="dxa" w:w="3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payment_reversal y movimientos compensatorios</w:t>
            </w:r>
          </w:p>
        </w:tc>
        <w:tc>
          <w:tcPr>
            <w:tcW w:type="dxa" w:w="3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Auditoría antes/después</w:t>
            </w:r>
          </w:p>
        </w:tc>
      </w:tr>
      <w:tr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Mora moderada</w:t>
            </w:r>
          </w:p>
        </w:tc>
        <w:tc>
          <w:tcPr>
            <w:tcW w:type="dxa" w:w="3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gracia 3 días; 12% TEA propuesta sobre capital vencido; sin capitalización/cargo fijo</w:t>
            </w:r>
          </w:p>
        </w:tc>
        <w:tc>
          <w:tcPr>
            <w:tcW w:type="dxa" w:w="3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Parámetros aprobados + casos patrón</w:t>
            </w:r>
          </w:p>
        </w:tc>
      </w:tr>
      <w:tr>
        <w:tc>
          <w:tcPr>
            <w:tcW w:type="dxa" w:w="2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Tiempo consistente</w:t>
            </w:r>
          </w:p>
        </w:tc>
        <w:tc>
          <w:tcPr>
            <w:tcW w:type="dxa" w:w="3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TIMESTAMPTZ UTC; negocio y presentación America/Lima</w:t>
            </w:r>
          </w:p>
        </w:tc>
        <w:tc>
          <w:tcPr>
            <w:tcW w:type="dxa" w:w="3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Casos de borde de medianoche/feriado</w:t>
            </w:r>
          </w:p>
        </w:tc>
      </w:tr>
    </w:tbl>
    <w:p>
      <w:pPr>
        <w:spacing w:after="40"/>
      </w:pPr>
    </w:p>
    <w:p>
      <w:pPr>
        <w:pStyle w:val="Heading2"/>
      </w:pPr>
      <w:r>
        <w:t>6. Índices y particionamiento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2100"/>
        <w:gridCol w:w="4200"/>
        <w:gridCol w:w="2720"/>
      </w:tblGrid>
      <w:tr>
        <w:trPr>
          <w:tblHeader w:val="true"/>
        </w:trPr>
        <w:tc>
          <w:tcPr>
            <w:tcW w:type="dxa" w:w="21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Patrón</w:t>
            </w:r>
          </w:p>
        </w:tc>
        <w:tc>
          <w:tcPr>
            <w:tcW w:type="dxa" w:w="42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Índice inicial</w:t>
            </w:r>
          </w:p>
        </w:tc>
        <w:tc>
          <w:tcPr>
            <w:tcW w:type="dxa" w:w="27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Criterio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Bandeja de solicitudes</w:t>
            </w:r>
          </w:p>
        </w:tc>
        <w:tc>
          <w:tcPr>
            <w:tcW w:type="dxa" w:w="4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credit_application(status, submitted_at desc) INCLUDE (person_id, requested_amount)</w:t>
            </w:r>
          </w:p>
        </w:tc>
        <w:tc>
          <w:tcPr>
            <w:tcW w:type="dxa" w:w="2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Medir con plan real; filtros secundarios específicos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Próximas cuotas</w:t>
            </w:r>
          </w:p>
        </w:tc>
        <w:tc>
          <w:tcPr>
            <w:tcW w:type="dxa" w:w="4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installment(status, due_date) WHERE status IN ('PENDING','PARTIAL','OVERDUE')</w:t>
            </w:r>
          </w:p>
        </w:tc>
        <w:tc>
          <w:tcPr>
            <w:tcW w:type="dxa" w:w="2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Trabajo diario y notificaciones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Auditoría</w:t>
            </w:r>
          </w:p>
        </w:tc>
        <w:tc>
          <w:tcPr>
            <w:tcW w:type="dxa" w:w="4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audit_event(subject_type, subject_id, occurred_at desc); correlation_id</w:t>
            </w:r>
          </w:p>
        </w:tc>
        <w:tc>
          <w:tcPr>
            <w:tcW w:type="dxa" w:w="2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Consulta forense; evaluar partición por tiempo al crecer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Outbox</w:t>
            </w:r>
          </w:p>
        </w:tc>
        <w:tc>
          <w:tcPr>
            <w:tcW w:type="dxa" w:w="4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outbox_event(published_at, occurred_at) WHERE published_at IS NULL</w:t>
            </w:r>
          </w:p>
        </w:tc>
        <w:tc>
          <w:tcPr>
            <w:tcW w:type="dxa" w:w="2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Publicador sin escaneo total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Cobranza</w:t>
            </w:r>
          </w:p>
        </w:tc>
        <w:tc>
          <w:tcPr>
            <w:tcW w:type="dxa" w:w="4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delinquency_snapshot(as_of_date, days_past_due) y loan(status)</w:t>
            </w:r>
          </w:p>
        </w:tc>
        <w:tc>
          <w:tcPr>
            <w:tcW w:type="dxa" w:w="2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Corte reproducible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Búsqueda personal</w:t>
            </w:r>
          </w:p>
        </w:tc>
        <w:tc>
          <w:tcPr>
            <w:tcW w:type="dxa" w:w="4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Índices únicos sobre valores normalizados; nunca búsqueda abierta sin permiso</w:t>
            </w:r>
          </w:p>
        </w:tc>
        <w:tc>
          <w:tcPr>
            <w:tcW w:type="dxa" w:w="2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Privacidad y duplicidad</w:t>
            </w:r>
          </w:p>
        </w:tc>
      </w:tr>
    </w:tbl>
    <w:p>
      <w:pPr>
        <w:spacing w:after="40"/>
      </w:pPr>
    </w:p>
    <w:p>
      <w:pPr>
        <w:pStyle w:val="Heading2"/>
      </w:pPr>
      <w:r>
        <w:t>7. Matriz CRUD por módulo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2100"/>
        <w:gridCol w:w="2500"/>
        <w:gridCol w:w="2800"/>
        <w:gridCol w:w="1620"/>
      </w:tblGrid>
      <w:tr>
        <w:trPr>
          <w:tblHeader w:val="true"/>
        </w:trPr>
        <w:tc>
          <w:tcPr>
            <w:tcW w:type="dxa" w:w="21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Módulo</w:t>
            </w:r>
          </w:p>
        </w:tc>
        <w:tc>
          <w:tcPr>
            <w:tcW w:type="dxa" w:w="2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Crea/actualiza</w:t>
            </w:r>
          </w:p>
        </w:tc>
        <w:tc>
          <w:tcPr>
            <w:tcW w:type="dxa" w:w="28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Lee por API propia/eventos</w:t>
            </w:r>
          </w:p>
        </w:tc>
        <w:tc>
          <w:tcPr>
            <w:tcW w:type="dxa" w:w="16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Prohibición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MOD-001 Acceso e identidad de cuenta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ENT-001 a 008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Entidades referenciadas mediante IDs, vistas de aplicación o eventos</w:t>
            </w:r>
          </w:p>
        </w:tc>
        <w:tc>
          <w:tcPr>
            <w:tcW w:type="dxa" w:w="1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Acceso directo desde otro módulo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MOD-002 Privacidad y consentimiento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ENT-009,010,042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Entidades referenciadas mediante IDs, vistas de aplicación o eventos</w:t>
            </w:r>
          </w:p>
        </w:tc>
        <w:tc>
          <w:tcPr>
            <w:tcW w:type="dxa" w:w="1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Acceso directo desde otro módulo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MOD-003 Perfil e identidad del cliente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ENT-011 a 018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Entidades referenciadas mediante IDs, vistas de aplicación o eventos</w:t>
            </w:r>
          </w:p>
        </w:tc>
        <w:tc>
          <w:tcPr>
            <w:tcW w:type="dxa" w:w="1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Acceso directo desde otro módulo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MOD-004 Parámetros y simulación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ENT-019,020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Entidades referenciadas mediante IDs, vistas de aplicación o eventos</w:t>
            </w:r>
          </w:p>
        </w:tc>
        <w:tc>
          <w:tcPr>
            <w:tcW w:type="dxa" w:w="1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Acceso directo desde otro módulo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MOD-005 Originación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ENT-021,022,025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Entidades referenciadas mediante IDs, vistas de aplicación o eventos</w:t>
            </w:r>
          </w:p>
        </w:tc>
        <w:tc>
          <w:tcPr>
            <w:tcW w:type="dxa" w:w="1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Acceso directo desde otro módulo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MOD-006 Riesgo y cumplimiento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ENT-023 a 028,043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Entidades referenciadas mediante IDs, vistas de aplicación o eventos</w:t>
            </w:r>
          </w:p>
        </w:tc>
        <w:tc>
          <w:tcPr>
            <w:tcW w:type="dxa" w:w="1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Acceso directo desde otro módulo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MOD-007 Oferta y contratación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ENT-029 a 031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Entidades referenciadas mediante IDs, vistas de aplicación o eventos</w:t>
            </w:r>
          </w:p>
        </w:tc>
        <w:tc>
          <w:tcPr>
            <w:tcW w:type="dxa" w:w="1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Acceso directo desde otro módulo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MOD-008 Crédito y desembolso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ENT-032 a 034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Entidades referenciadas mediante IDs, vistas de aplicación o eventos</w:t>
            </w:r>
          </w:p>
        </w:tc>
        <w:tc>
          <w:tcPr>
            <w:tcW w:type="dxa" w:w="1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Acceso directo desde otro módulo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MOD-009 Pagos, mora y cobranza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ENT-035 a 041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Entidades referenciadas mediante IDs, vistas de aplicación o eventos</w:t>
            </w:r>
          </w:p>
        </w:tc>
        <w:tc>
          <w:tcPr>
            <w:tcW w:type="dxa" w:w="1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Acceso directo desde otro módulo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MOD-010 Plataforma y supervisión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ENT-042 a 048</w:t>
            </w:r>
          </w:p>
        </w:tc>
        <w:tc>
          <w:tcPr>
            <w:tcW w:type="dxa" w:w="2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Entidades referenciadas mediante IDs, vistas de aplicación o eventos</w:t>
            </w:r>
          </w:p>
        </w:tc>
        <w:tc>
          <w:tcPr>
            <w:tcW w:type="dxa" w:w="1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Acceso directo desde otro módulo</w:t>
            </w:r>
          </w:p>
        </w:tc>
      </w:tr>
    </w:tbl>
    <w:p>
      <w:pPr>
        <w:spacing w:after="40"/>
      </w:pPr>
    </w:p>
    <w:p>
      <w:pPr>
        <w:pStyle w:val="Heading2"/>
      </w:pPr>
      <w:r>
        <w:t>8. Clasificación, retención y derechos</w:t>
      </w:r>
    </w:p>
    <w:p>
      <w:r>
        <w:rPr>
          <w:rFonts w:ascii="Arial" w:hAnsi="Arial"/>
          <w:color w:val="000000"/>
          <w:sz w:val="22"/>
        </w:rPr>
        <w:t>La etiqueta de retención del catálogo es preliminar. Para información financiera, contractual, auditoría y cumplimiento se conservará como mínimo la evidencia exigida por RNF-012 (dos años) o el plazo mayor que determine el abogado, contador y cumplimiento. El derecho de supresión no autoriza borrar obligaciones legales: se aplicará bloqueo, minimización o anonimización cuando corresponda y se conservará trazabilidad de la decisión.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600"/>
        <w:gridCol w:w="2900"/>
        <w:gridCol w:w="4520"/>
      </w:tblGrid>
      <w:tr>
        <w:trPr>
          <w:tblHeader w:val="true"/>
        </w:trPr>
        <w:tc>
          <w:tcPr>
            <w:tcW w:type="dxa" w:w="16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Clase</w:t>
            </w:r>
          </w:p>
        </w:tc>
        <w:tc>
          <w:tcPr>
            <w:tcW w:type="dxa" w:w="2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Ejemplos</w:t>
            </w:r>
          </w:p>
        </w:tc>
        <w:tc>
          <w:tcPr>
            <w:tcW w:type="dxa" w:w="45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Controles</w:t>
            </w:r>
          </w:p>
        </w:tc>
      </w:tr>
      <w:tr>
        <w:tc>
          <w:tcPr>
            <w:tcW w:type="dxa" w:w="1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Público</w:t>
            </w:r>
          </w:p>
        </w:tc>
        <w:tc>
          <w:tcPr>
            <w:tcW w:type="dxa" w:w="2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Avisos vigentes y catálogos no personales</w:t>
            </w:r>
          </w:p>
        </w:tc>
        <w:tc>
          <w:tcPr>
            <w:tcW w:type="dxa" w:w="4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Integridad y versión</w:t>
            </w:r>
          </w:p>
        </w:tc>
      </w:tr>
      <w:tr>
        <w:tc>
          <w:tcPr>
            <w:tcW w:type="dxa" w:w="1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Interno</w:t>
            </w:r>
          </w:p>
        </w:tc>
        <w:tc>
          <w:tcPr>
            <w:tcW w:type="dxa" w:w="2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Configuración no secreta y definiciones</w:t>
            </w:r>
          </w:p>
        </w:tc>
        <w:tc>
          <w:tcPr>
            <w:tcW w:type="dxa" w:w="4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RBAC y cambios auditados</w:t>
            </w:r>
          </w:p>
        </w:tc>
      </w:tr>
      <w:tr>
        <w:tc>
          <w:tcPr>
            <w:tcW w:type="dxa" w:w="1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Confidencial</w:t>
            </w:r>
          </w:p>
        </w:tc>
        <w:tc>
          <w:tcPr>
            <w:tcW w:type="dxa" w:w="2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Contacto, perfil, notificación y soporte</w:t>
            </w:r>
          </w:p>
        </w:tc>
        <w:tc>
          <w:tcPr>
            <w:tcW w:type="dxa" w:w="4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Cifrado, necesidad de saber y exportación controlada</w:t>
            </w:r>
          </w:p>
        </w:tc>
      </w:tr>
      <w:tr>
        <w:tc>
          <w:tcPr>
            <w:tcW w:type="dxa" w:w="1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Altamente confidencial</w:t>
            </w:r>
          </w:p>
        </w:tc>
        <w:tc>
          <w:tcPr>
            <w:tcW w:type="dxa" w:w="2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Identidad, economía, crédito, pagos, KYC y contratos</w:t>
            </w:r>
          </w:p>
        </w:tc>
        <w:tc>
          <w:tcPr>
            <w:tcW w:type="dxa" w:w="4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Acceso por caso, MFA interno, logging minimizado y revisión</w:t>
            </w:r>
          </w:p>
        </w:tc>
      </w:tr>
      <w:tr>
        <w:tc>
          <w:tcPr>
            <w:tcW w:type="dxa" w:w="1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Restringido</w:t>
            </w:r>
          </w:p>
        </w:tc>
        <w:tc>
          <w:tcPr>
            <w:tcW w:type="dxa" w:w="2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Sesiones, roles, auditoría, parámetros y secretos de operación</w:t>
            </w:r>
          </w:p>
        </w:tc>
        <w:tc>
          <w:tcPr>
            <w:tcW w:type="dxa" w:w="4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Administración separada; secretos fuera de DB cuando aplique</w:t>
            </w:r>
          </w:p>
        </w:tc>
      </w:tr>
    </w:tbl>
    <w:p>
      <w:pPr>
        <w:spacing w:after="40"/>
      </w:pPr>
    </w:p>
    <w:p>
      <w:pPr>
        <w:pStyle w:val="Heading2"/>
      </w:pPr>
      <w:r>
        <w:t>9. Versionado y migraciones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Flyway es la única vía normal de cambio de esquema; checksum, orden y aprobación en revisión de código.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Cambios compatibles primero: agregar/llenar/verificar/restringir; retirar columnas solo después de no uso demostrado.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No editar migraciones aplicadas en ambientes compartidos; usar migración correctiva.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Datos maestros y parámetros financieros usan versiones de negocio distintas de la versión del esquema.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Toda migración relevante prueba upgrade, rollback aplicativo/compensación, rendimiento y restore.</w:t>
      </w:r>
    </w:p>
    <w:p>
      <w:pPr>
        <w:pStyle w:val="Heading2"/>
      </w:pPr>
      <w:r>
        <w:t>10. Decisiones pendientes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3600"/>
        <w:gridCol w:w="2600"/>
        <w:gridCol w:w="2820"/>
      </w:tblGrid>
      <w:tr>
        <w:trPr>
          <w:tblHeader w:val="true"/>
        </w:trPr>
        <w:tc>
          <w:tcPr>
            <w:tcW w:type="dxa" w:w="36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Decisión</w:t>
            </w:r>
          </w:p>
        </w:tc>
        <w:tc>
          <w:tcPr>
            <w:tcW w:type="dxa" w:w="26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Responsable</w:t>
            </w:r>
          </w:p>
        </w:tc>
        <w:tc>
          <w:tcPr>
            <w:tcW w:type="dxa" w:w="28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Efecto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Plazos legales por categoría y jurisdicción de proveedores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Legal/privacidad</w:t>
            </w:r>
          </w:p>
        </w:tc>
        <w:tc>
          <w:tcPr>
            <w:tcW w:type="dxa" w:w="2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Retención, purga y S3 lifecycle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Catálogo geográfico oficial y normalización documental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Producto/cumplimiento</w:t>
            </w:r>
          </w:p>
        </w:tc>
        <w:tc>
          <w:tcPr>
            <w:tcW w:type="dxa" w:w="2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Restricciones y datos maestros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Reglas contables y libro auxiliar requerido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Contador/finanzas</w:t>
            </w:r>
          </w:p>
        </w:tc>
        <w:tc>
          <w:tcPr>
            <w:tcW w:type="dxa" w:w="2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Posibles entidades de asientos y reportes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Proveedor KYC/riesgo y payload mínimo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Cumplimiento/seguridad</w:t>
            </w:r>
          </w:p>
        </w:tc>
        <w:tc>
          <w:tcPr>
            <w:tcW w:type="dxa" w:w="2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Adaptador y evidencia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Estrategia UUIDv7 exacta y partición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Responsable técnico</w:t>
            </w:r>
          </w:p>
        </w:tc>
        <w:tc>
          <w:tcPr>
            <w:tcW w:type="dxa" w:w="2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Migraciones e índices</w:t>
            </w:r>
          </w:p>
        </w:tc>
      </w:tr>
    </w:tbl>
    <w:p>
      <w:pPr>
        <w:spacing w:after="40"/>
      </w:pPr>
    </w:p>
    <w:p>
      <w:pPr>
        <w:pStyle w:val="Heading2"/>
      </w:pPr>
      <w:r>
        <w:t>Fuentes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Guía Maestra de Documentación de San Martín Finanzas; Plan de Desarrollo y Entregas del MVP; documentos oficiales 1 al 16.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Oracle. Java SE Support Roadmap (Java 25 LTS): https://www.oracle.com/asean/java/technologies/java-se-support-roadmap.html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Spring. Spring Boot 4.1 system requirements y referencia: https://docs.spring.io/spring-boot/system-requirements.html y https://docs.spring.io/spring-boot/index.html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Spring. Spring Modulith 2.1 reference: https://docs.spring.io/spring-modulith/reference/index.html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 Security. Session Management: https://docs.spring.io/spring-security/reference/servlet/authentication/session-management.html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PostgreSQL Global Development Group. Versioning Policy: https://www.postgresql.org/support/versioning/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Redgate. Flyway Supported Database Versions: https://documentation.red-gate.com/fd/supported-database-versions-143754067.html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Vercel. Next.js installation and system requirements: https://nextjs.org/docs/app/getting-started/installation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OpenJS Foundation. Node.js releases: https://nodejs.org/en/about/previous-releases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OpenAPI Initiative. OpenAPI Specification 3.1.2: https://spec.openapis.org/oas/v3.1.2.html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IETF. RFC 9457, Problem Details for HTTP APIs: https://www.rfc-editor.org/rfc/rfc9457.html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OWASP. ASVS 5.0.0: https://owasp.org/www-project-application-security-verification-standard/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19. MODELO DE DATOS</dc:title>
  <dc:subject>Fase 5 - Diseño del sistema</dc:subject>
  <dc:creator>San Martin Finanzas</dc:creator>
  <cp:keywords>arquitectura, software, datos, API, UI UX, microprestamos, San Martin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