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DIAGRAMA ENTIDAD RELACIÓN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Representa las entidades ENT-001 a ENT-048 del modelo de datos, sus claves y cardinalidades. Los diagramas son conceptuales/físicos preliminares: el documento 19 es el catálogo canónico y las migraciones Flyway futuras serán la implementación verificable.</w:t>
      </w:r>
    </w:p>
    <w:p>
      <w:pPr>
        <w:pStyle w:val="Heading2"/>
      </w:pPr>
      <w:r>
        <w:t>2. Notación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800"/>
        <w:gridCol w:w="7220"/>
      </w:tblGrid>
      <w:tr>
        <w:trPr>
          <w:tblHeader w:val="true"/>
        </w:trPr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Símbolo</w:t>
            </w:r>
          </w:p>
        </w:tc>
        <w:tc>
          <w:tcPr>
            <w:tcW w:type="dxa" w:w="72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Significado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PK</w:t>
            </w:r>
          </w:p>
        </w:tc>
        <w:tc>
          <w:tcPr>
            <w:tcW w:type="dxa" w:w="7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Clave primaria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FK</w:t>
            </w:r>
          </w:p>
        </w:tc>
        <w:tc>
          <w:tcPr>
            <w:tcW w:type="dxa" w:w="7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Clave foránea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7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Exactamente uno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0..1</w:t>
            </w:r>
          </w:p>
        </w:tc>
        <w:tc>
          <w:tcPr>
            <w:tcW w:type="dxa" w:w="7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Cero o uno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1..N</w:t>
            </w:r>
          </w:p>
        </w:tc>
        <w:tc>
          <w:tcPr>
            <w:tcW w:type="dxa" w:w="7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Uno o muchos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0..N</w:t>
            </w:r>
          </w:p>
        </w:tc>
        <w:tc>
          <w:tcPr>
            <w:tcW w:type="dxa" w:w="7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Cero o muchos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UQ</w:t>
            </w:r>
          </w:p>
        </w:tc>
        <w:tc>
          <w:tcPr>
            <w:tcW w:type="dxa" w:w="7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Restricción única</w:t>
            </w:r>
          </w:p>
        </w:tc>
      </w:tr>
    </w:tbl>
    <w:p>
      <w:pPr>
        <w:spacing w:after="40"/>
      </w:pPr>
    </w:p>
    <w:p>
      <w:pPr>
        <w:pStyle w:val="Heading2"/>
      </w:pPr>
      <w:r>
        <w:t>3.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1" name="Picture 1" descr="Siete dominios relacionados: identidad, originación, decisión, contratación, crédito, recaudación y plataforma." title="Siete dominios relacionados: identidad, originación, decisión, contratación, cr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r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1. Vista general por dominios.</w:t>
      </w:r>
    </w:p>
    <w:p>
      <w:pPr>
        <w:pStyle w:val="Heading2"/>
      </w:pPr>
      <w:r>
        <w:t>4. Identidad, acceso y privacidad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2" name="Picture 2" descr="Person se relaciona uno a uno o muchos con account, contact methods y consents; account se relaciona con sessions y roles mediante account_role." title="Person se relaciona uno a uno o muchos con account, contact methods y consents;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r_identid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2. Entidades ENT-001 a ENT-010.</w:t>
      </w:r>
    </w:p>
    <w:p>
      <w:pPr>
        <w:pStyle w:val="Heading2"/>
      </w:pPr>
      <w:r>
        <w:t>5. Perfil y originación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3" name="Picture 3" descr="Customer profile agrupa domicilio, economía e ingresos; documentos, parámetros y simulación alimentan credit_application." title="Customer profile agrupa domicilio, economía e ingresos; documentos, parámetros 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r_origin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3. Entidades ENT-011 a ENT-022.</w:t>
      </w:r>
    </w:p>
    <w:p>
      <w:pPr>
        <w:pStyle w:val="Heading2"/>
      </w:pPr>
      <w:r>
        <w:t>6. Evaluación y decisión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4" name="Picture 4" descr="Credit application tiene evaluaciones, dimensiones, observaciones, controles de cumplimiento, una decisión y aprobaciones de excepción." title="Credit application tiene evaluaciones, dimensiones, observaciones, controles de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r_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4. Entidades ENT-023 a ENT-028.</w:t>
      </w:r>
    </w:p>
    <w:p>
      <w:pPr>
        <w:pStyle w:val="Heading2"/>
      </w:pPr>
      <w:r>
        <w:t>7. Contratación y crédito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5" name="Picture 5" descr="Decisión aprobada genera oferta y documentos; aceptación permite desembolso; solo confirmación crea loan e installments." title="Decisión aprobada genera oferta y documentos; aceptación permite desembolso; s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r_contra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5. Entidades ENT-029 a ENT-034.</w:t>
      </w:r>
    </w:p>
    <w:p>
      <w:pPr>
        <w:pStyle w:val="Heading2"/>
      </w:pPr>
      <w:r>
        <w:t>8. Pagos, mora y cobranza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6" name="Picture 6" descr="Loan se relaciona con payments y allocations; reversals compensan; quotes, delinquency snapshots, collection actions y agreements conservan historial." title="Loan se relaciona con payments y allocations; reversals compensan; quotes, del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r_pag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6. Entidades ENT-035 a ENT-041.</w:t>
      </w:r>
    </w:p>
    <w:p>
      <w:pPr>
        <w:pStyle w:val="Heading2"/>
      </w:pPr>
      <w:r>
        <w:t>9. Plataforma y supervisión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7" name="Picture 7" descr="Entidades transversales de notificación, atención, auditoría, outbox, pausa, reportes e intentos de integración." title="Entidades transversales de notificación, atención, auditoría, outbox, pausa, re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r_platafor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7. Entidades ENT-042 a ENT-048.</w:t>
      </w:r>
    </w:p>
    <w:p>
      <w:pPr>
        <w:pStyle w:val="Heading2"/>
      </w:pPr>
      <w:r>
        <w:t>10. Relaciones y cardinalidades críticas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900"/>
        <w:gridCol w:w="3000"/>
        <w:gridCol w:w="5120"/>
      </w:tblGrid>
      <w:tr>
        <w:trPr>
          <w:tblHeader w:val="true"/>
        </w:trPr>
        <w:tc>
          <w:tcPr>
            <w:tcW w:type="dxa" w:w="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30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Relación</w:t>
            </w:r>
          </w:p>
        </w:tc>
        <w:tc>
          <w:tcPr>
            <w:tcW w:type="dxa" w:w="5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Restricción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REL-001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person 1 — 0..1 account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Una persona posee como máximo una cuenta activa en el MVP; historial de cuenta se conserva.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REL-002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person 1 — 0..N consent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Cada decisión apunta a una versión exacta de aviso.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REL-003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person 1 — 0..N credit_application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La UQ parcial impide más de una solicitud activa.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REL-004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financial_parameter_set 1 — 0..N simulation/offer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Parámetros aprobados quedan referenciados, no copiados sin versión.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REL-005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credit_application 1 — 0..N evaluation; 0..1 decision efectiva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Decisión es inmutable y requiere evaluación completa.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REL-006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decision 1 — 0..1 offer vigente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Nuevas versiones sustituyen sin mutar historial.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REL-007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offer 1 — 0..1 acceptance efectiva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Aceptación solo vigente y con evidencia.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REL-008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offer 1 — 0..N disbursement attempts; 0..1 confirmed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Solo uno confirmado.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REL-009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disbursement CONFIRMED 1 — 1 loan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Creación atómica y única.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REL-010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loan 1 — 1..N installment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Secuencia única y cuadratura.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REL-011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payment N — M installment por payment_allocation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Imputación explícita y total controlado.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REL-012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payment 1 — 0..1 effective reversal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Reversión compensa, no borra.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REL-013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loan 1 — 0..N delinquency_snapshot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Un corte por fecha local.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REL-014</w:t>
            </w:r>
          </w:p>
        </w:tc>
        <w:tc>
          <w:tcPr>
            <w:tcW w:type="dxa" w:w="3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agregado 1 — 0..N audit/outbox</w:t>
            </w:r>
          </w:p>
        </w:tc>
        <w:tc>
          <w:tcPr>
            <w:tcW w:type="dxa" w:w="5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Relación polimórfica lógica por subject/aggregate id, validada en aplicación.</w:t>
            </w:r>
          </w:p>
        </w:tc>
      </w:tr>
    </w:tbl>
    <w:p>
      <w:pPr>
        <w:spacing w:after="40"/>
      </w:pPr>
    </w:p>
    <w:p>
      <w:pPr>
        <w:pStyle w:val="Heading2"/>
      </w:pPr>
      <w:r>
        <w:t>11. Reglas de consistencia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Todo FK obligatorio usa RESTRICT en entidades históricas; borrado físico solo en temporales autorizados.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Las relaciones polimórficas de auditoría/outbox no sustituyen FKs del negocio y se verifican en la misma transacción.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eliminación de documentos no rompe evidencia contractual: versiones usadas quedan bloqueadas y retenidas.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Las cardinalidades deben contrastarse con las migraciones Flyway y pruebas de integridad antes de Sprint 2–4.</w:t>
      </w: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Finanzas; Plan de Desarrollo y Entregas del MVP; documentos oficiales 1 al 16.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Oracle. Java SE Support Roadmap (Java 25 LTS): https://www.oracle.com/asean/java/technologies/java-se-support-roadmap.html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Boot 4.1 system requirements y referencia: https://docs.spring.io/spring-boot/system-requirements.html y https://docs.spring.io/spring-boot/index.html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Modulith 2.1 reference: https://docs.spring.io/spring-modulith/reference/index.html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 Security. Session Management: https://docs.spring.io/spring-security/reference/servlet/authentication/session-management.html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PostgreSQL Global Development Group. Versioning Policy: https://www.postgresql.org/support/versioning/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Redgate. Flyway Supported Database Versions: https://documentation.red-gate.com/fd/supported-database-versions-143754067.html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Vercel. Next.js installation and system requirements: https://nextjs.org/docs/app/getting-started/installation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OpenJS Foundation. Node.js releases: https://nodejs.org/en/about/previous-releases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OpenAPI Initiative. OpenAPI Specification 3.1.2: https://spec.openapis.org/oas/v3.1.2.html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IETF. RFC 9457, Problem Details for HTTP APIs: https://www.rfc-editor.org/rfc/rfc9457.html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OWASP. ASVS 5.0.0: https://owasp.org/www-project-application-security-verification-standard/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20. DIAGRAMA ENTIDAD RELACION</dc:title>
  <dc:subject>Fase 5 - Diseño del sistema</dc:subject>
  <dc:creator>San Martin Finanzas</dc:creator>
  <cp:keywords>arquitectura, software, datos, API, UI UX,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