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DISEÑO DE APIS</w:t>
      </w:r>
    </w:p>
    <w:p>
      <w:pPr>
        <w:pStyle w:val="Heading2"/>
      </w:pPr>
      <w:r>
        <w:t>Plataforma Digital de Micropréstamos para la Región San Martín</w:t>
      </w:r>
    </w:p>
    <w:p>
      <w:r>
        <w:rPr>
          <w:rFonts w:ascii="Arial" w:hAnsi="Arial"/>
          <w:b/>
          <w:color w:val="000000"/>
          <w:sz w:val="22"/>
        </w:rPr>
        <w:t xml:space="preserve">Nombre provisional del proyecto: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Nombre comercial de la plataforma: </w:t>
      </w:r>
      <w:r>
        <w:rPr>
          <w:rFonts w:ascii="Arial" w:hAnsi="Arial"/>
          <w:color w:val="000000"/>
          <w:sz w:val="22"/>
        </w:rPr>
        <w:t>San Martin Finanzas</w:t>
        <w:br/>
      </w:r>
      <w:r>
        <w:rPr>
          <w:rFonts w:ascii="Arial" w:hAnsi="Arial"/>
          <w:b/>
          <w:color w:val="000000"/>
          <w:sz w:val="22"/>
        </w:rPr>
        <w:t xml:space="preserve">Versión del documento: </w:t>
      </w:r>
      <w:r>
        <w:rPr>
          <w:rFonts w:ascii="Arial" w:hAnsi="Arial"/>
          <w:color w:val="000000"/>
          <w:sz w:val="22"/>
        </w:rPr>
        <w:t>1.0</w:t>
        <w:br/>
      </w:r>
      <w:r>
        <w:rPr>
          <w:rFonts w:ascii="Arial" w:hAnsi="Arial"/>
          <w:b/>
          <w:color w:val="000000"/>
          <w:sz w:val="22"/>
        </w:rPr>
        <w:t xml:space="preserve">Fecha de elaboración: </w:t>
      </w:r>
      <w:r>
        <w:rPr>
          <w:rFonts w:ascii="Arial" w:hAnsi="Arial"/>
          <w:color w:val="000000"/>
          <w:sz w:val="22"/>
        </w:rPr>
        <w:t>15/08/2026</w:t>
        <w:br/>
      </w:r>
      <w:r>
        <w:rPr>
          <w:rFonts w:ascii="Arial" w:hAnsi="Arial"/>
          <w:b/>
          <w:color w:val="000000"/>
          <w:sz w:val="22"/>
        </w:rPr>
        <w:t xml:space="preserve">Promotor e inversionista: </w:t>
      </w:r>
      <w:r>
        <w:rPr>
          <w:rFonts w:ascii="Arial" w:hAnsi="Arial"/>
          <w:color w:val="000000"/>
          <w:sz w:val="22"/>
        </w:rPr>
        <w:t>Ing. Ronal Ríos Romero</w:t>
        <w:br/>
      </w:r>
      <w:r>
        <w:rPr>
          <w:rFonts w:ascii="Arial" w:hAnsi="Arial"/>
          <w:b/>
          <w:color w:val="000000"/>
          <w:sz w:val="22"/>
        </w:rPr>
        <w:t xml:space="preserve">Product Owner y Scrum Master: </w:t>
      </w:r>
      <w:r>
        <w:rPr>
          <w:rFonts w:ascii="Arial" w:hAnsi="Arial"/>
          <w:color w:val="000000"/>
          <w:sz w:val="22"/>
        </w:rPr>
        <w:t>Carlos Humberto Gonzales</w:t>
        <w:br/>
      </w:r>
      <w:r>
        <w:rPr>
          <w:rFonts w:ascii="Arial" w:hAnsi="Arial"/>
          <w:b/>
          <w:color w:val="000000"/>
          <w:sz w:val="22"/>
        </w:rPr>
        <w:t xml:space="preserve">Developer y responsable técnico: </w:t>
      </w:r>
      <w:r>
        <w:rPr>
          <w:rFonts w:ascii="Arial" w:hAnsi="Arial"/>
          <w:color w:val="000000"/>
          <w:sz w:val="22"/>
        </w:rPr>
        <w:t>Leonardo Jesús Gonzales</w:t>
      </w:r>
    </w:p>
    <w:p>
      <w:pPr>
        <w:pStyle w:val="Heading2"/>
      </w:pPr>
      <w:r>
        <w:t>1. Propósito y alcance</w:t>
      </w:r>
    </w:p>
    <w:p>
      <w:r>
        <w:rPr>
          <w:rFonts w:ascii="Arial" w:hAnsi="Arial"/>
          <w:color w:val="000000"/>
          <w:sz w:val="22"/>
        </w:rPr>
        <w:t>Define el contrato REST JSON del MVP bajo /api/v1. El catálogo se implementará como OpenAPI 3.1.2 y se mantendrá compatible con el modelo ENT y las pantallas UI. No selecciona proveedores externos ni contiene credenciales o URLs de producción.</w:t>
      </w:r>
    </w:p>
    <w:p>
      <w:pPr>
        <w:pStyle w:val="Heading2"/>
      </w:pPr>
      <w:r>
        <w:t>Clasificación del contenido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2100"/>
        <w:gridCol w:w="6920"/>
      </w:tblGrid>
      <w:tr>
        <w:trPr>
          <w:tblHeader w:val="true"/>
        </w:trPr>
        <w:tc>
          <w:tcPr>
            <w:tcW w:type="dxa" w:w="21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Categoría</w:t>
            </w:r>
          </w:p>
        </w:tc>
        <w:tc>
          <w:tcPr>
            <w:tcW w:type="dxa" w:w="6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Tratamiento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Hecho heredado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Requisito, regla, alcance o decisión ya documentada en las fases 1 a 4.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Decisión de diseño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Línea base técnica adoptada para el MVP y modificable mediante ADR controlado.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8"/>
              </w:rPr>
              <w:t>Hipótesis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Supuesto que requiere evidencia durante desarrollo, prueba o piloto.</w:t>
            </w:r>
          </w:p>
        </w:tc>
      </w:tr>
      <w:tr>
        <w:tc>
          <w:tcPr>
            <w:tcW w:type="dxa" w:w="21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Validación pendiente</w:t>
            </w:r>
          </w:p>
        </w:tc>
        <w:tc>
          <w:tcPr>
            <w:tcW w:type="dxa" w:w="6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8"/>
              </w:rPr>
              <w:t>Materia que debe aprobar el especialista competente antes de producción o dinero real.</w:t>
            </w:r>
          </w:p>
        </w:tc>
      </w:tr>
    </w:tbl>
    <w:p>
      <w:pPr>
        <w:spacing w:after="40"/>
      </w:pPr>
    </w:p>
    <w:p>
      <w:pPr>
        <w:pStyle w:val="Heading2"/>
      </w:pPr>
      <w:r>
        <w:t>3. Convenciones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900"/>
        <w:gridCol w:w="7120"/>
      </w:tblGrid>
      <w:tr>
        <w:trPr>
          <w:tblHeader w:val="true"/>
        </w:trPr>
        <w:tc>
          <w:tcPr>
            <w:tcW w:type="dxa" w:w="19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Aspecto</w:t>
            </w:r>
          </w:p>
        </w:tc>
        <w:tc>
          <w:tcPr>
            <w:tcW w:type="dxa" w:w="71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Regla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Base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/api/v1; HTTPS; application/json; UTF-8. Cargas documentales usan URLs S3 temporales, no binarios por API.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Autenticación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Cookie de sesión opaca Secure/HttpOnly/SameSite; CSRF en mutaciones; MFA donde se indica.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Autorización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Recurso + acción + pertenencia/asignación; denegar por defecto; 404 seguro cuando revelar existencia sea riesgo.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Idempotencia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Idempotency-Key UUID en altas críticas; misma clave+payload devuelve mismo resultado; payload distinto produce 409.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Concurrencia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ETag/If-Match con version; conflicto 412 o 409 con código estable.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Errores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application/problem+json conforme RFC 9457; type, title, status, detail seguro, instance, code, correlationId, fieldErrors.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Paginación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page[size] &lt;= 100 y cursor/next; orden estable; filtros permitidos explícitamente.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Fechas/dinero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ISO 8601; instantes UTC; fechas de negocio YYYY-MM-DD; dinero como string decimal + currency; tasas string decimal.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Versionado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Cambios aditivos compatibles; deprecación comunicada; ruptura requiere /v2 y plan de migración.</w:t>
            </w:r>
          </w:p>
        </w:tc>
      </w:tr>
      <w:tr>
        <w:tc>
          <w:tcPr>
            <w:tcW w:type="dxa" w:w="19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7"/>
              </w:rPr>
              <w:t>Observabilidad</w:t>
            </w:r>
          </w:p>
        </w:tc>
        <w:tc>
          <w:tcPr>
            <w:tcW w:type="dxa" w:w="71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7"/>
              </w:rPr>
              <w:t>X-Correlation-Id aceptado/emitido; no devolver IDs internos sensibles innecesarios.</w:t>
            </w:r>
          </w:p>
        </w:tc>
      </w:tr>
    </w:tbl>
    <w:p>
      <w:pPr>
        <w:spacing w:after="40"/>
      </w:pPr>
    </w:p>
    <w:p>
      <w:pPr>
        <w:pStyle w:val="Heading2"/>
      </w:pPr>
      <w:r>
        <w:t>4. Catálogo de operaciones</w:t>
      </w:r>
    </w:p>
    <w:tbl>
      <w:tblPr>
        <w:tblStyle w:val="TableGrid"/>
        <w:tblW w:type="dxa" w:w="9070"/>
        <w:tblLayout w:type="fixed"/>
        <w:tblLook w:firstColumn="1" w:firstRow="1" w:lastColumn="0" w:lastRow="0" w:noHBand="0" w:noVBand="1" w:val="04A0"/>
      </w:tblPr>
      <w:tblGrid>
        <w:gridCol w:w="650"/>
        <w:gridCol w:w="2250"/>
        <w:gridCol w:w="1150"/>
        <w:gridCol w:w="2050"/>
        <w:gridCol w:w="1550"/>
        <w:gridCol w:w="750"/>
        <w:gridCol w:w="670"/>
      </w:tblGrid>
      <w:tr>
        <w:trPr>
          <w:tblHeader w:val="true"/>
        </w:trPr>
        <w:tc>
          <w:tcPr>
            <w:tcW w:type="dxa" w:w="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22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Método / ruta</w:t>
            </w:r>
          </w:p>
        </w:tc>
        <w:tc>
          <w:tcPr>
            <w:tcW w:type="dxa" w:w="1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Actor</w:t>
            </w:r>
          </w:p>
        </w:tc>
        <w:tc>
          <w:tcPr>
            <w:tcW w:type="dxa" w:w="20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Propósito</w:t>
            </w:r>
          </w:p>
        </w:tc>
        <w:tc>
          <w:tcPr>
            <w:tcW w:type="dxa" w:w="15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Control</w:t>
            </w:r>
          </w:p>
        </w:tc>
        <w:tc>
          <w:tcPr>
            <w:tcW w:type="dxa" w:w="7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Entidades</w:t>
            </w:r>
          </w:p>
        </w:tc>
        <w:tc>
          <w:tcPr>
            <w:tcW w:type="dxa" w:w="67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UI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/api/v1/auth/registrations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cuenta pendiente de verificación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No; token antiabuso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ENT-001,002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/api/v1/auth/verifications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Emitir desafío de contacto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ENT-003,004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/api/v1/auth/verifications/{id}/confirm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código temporal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ENT-003,004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/api/v1/auth/sessions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Autenticar y crear sesión segura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No; antiabuso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ENT-002,005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DELETE</w:t>
              <w:br/>
              <w:t>/api/v1/auth/session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Autenticado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Cerrar y revocar sesión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/api/v1/auth/recoveries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Iniciar recuperación sin enumeración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/api/v1/auth/recoveries/{id}/complete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Cambiar credencial y revocar sesiones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ENT-002,005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/api/v1/auth/mfa/challenges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Interno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Emitir segundo factor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API-009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/api/v1/auth/mfa/challenges/{id}/confirm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Interno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segundo factor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ENT-004,005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/api/v1/notices/current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Público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Obtener avisos vigentes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Cacheable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UI-001,006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/api/v1/me/consents/{purpose}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decisión versionada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/api/v1/me/profile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perfil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ENT-011 a 015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/api/v1/me/profile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Actualizar datos personales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/api/v1/me/address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Actualizar domicilio regional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ENT-012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/api/v1/me/economic-profile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Actualizar economía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ENT-013 a 015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/api/v1/me/documents/uploads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Iniciar carga con URL limitada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ENT-016,017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/api/v1/me/documents/{id}/complete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hash y metadatos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ENT-016,017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/api/v1/me/documents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evidencias propias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ENT-016 a 018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API-019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DELETE</w:t>
              <w:br/>
              <w:t>/api/v1/me/documents/{id}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Retirar versión no enviada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ENT-016 a 018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/api/v1/catalogs/locations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Autenticado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Catálogo regional versionado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Cacheable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-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UI-008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/api/v1/credit-products/options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Opciones vigentes por segmento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Sesión; no decisión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/api/v1/simulations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Calcular costo transparente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ENT-019,020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/api/v1/simulations/{id}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snapshot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/api/v1/applications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borrador desde simulación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/api/v1/applications/{id}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Actualizar borrador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UI-014,015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/api/v1/applications/{id}/submit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Enviar solicitud única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ENT-021,022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/api/v1/applications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solicitudes propias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/api/v1/applications/{id}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expediente según permiso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 a 026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UI-017,029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API-029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/api/v1/applications/{id}/cancel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Cancelar en estado permitido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ENT-021,022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/api/v1/applications/{id}/observations/{oid}/responses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Subsanar observación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ENT-025,016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UI-015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/api/v1/backoffice/applications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Bandeja con filtros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 + permiso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/api/v1/backoffice/applications/{id}/evaluations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Iniciar evaluación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ENT-023,024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/api/v1/backoffice/evaluations/{id}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 asignado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Actualizar evaluación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ENT-023,024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/api/v1/backoffice/applications/{id}/observations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Solicitar subsanación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ENT-025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/api/v1/backoffice/applications/{id}/compliance-checks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Cumplimiento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control KYC/PEP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ENT-026,048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/api/v1/backoffice/applications/{id}/decisions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Analista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Decidir con motivo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ENT-027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/api/v1/backoffice/decisions/{id}/approvals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 distinto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Aprobar excepción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/api/v1/backoffice/decisions/{id}/offers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Supervisor/analista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Generar oferta versionada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ENT-029,030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UI-035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API-039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/api/v1/offers/{id}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oferta y vigencia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ENT-029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/api/v1/offers/{id}/documents/{type}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Descargar documento con URL temporal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/api/v1/offers/{id}/acceptance-challenges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Emitir desafío de aceptación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ENT-004,029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/api/v1/offers/{id}/acceptances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 propietario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Aceptar expresamente oferta vigente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UI-019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/api/v1/backoffice/offers/{id}/disbursements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intento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ENT-032,048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PATCH</w:t>
              <w:br/>
              <w:t>/api/v1/backoffice/disbursements/{id}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Confirmar o fallar desembolso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ENT-032,033,034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/api/v1/loans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préstamos propios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ENT-033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/api/v1/loans/{id}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resumen y saldo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ENT-033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UI-020,037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/api/v1/loans/{id}/schedule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cronograma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UI-021,037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/api/v1/backoffice/loans/{id}/payments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pago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ENT-035,036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API-049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PATCH</w:t>
              <w:br/>
              <w:t>/api/v1/backoffice/payments/{id}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Operaciones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Conciliar pago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ENT-035,036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/api/v1/backoffice/payments/{id}/reversals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 distinto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Revertir por compensación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ENT-037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UI-038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/api/v1/loans/{id}/prepayment-quotes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Calcular liquidación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/api/v1/loans/{id}/delinquency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Cliente/interno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mora calculada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UI-022,037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/api/v1/backoffice/collections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Cobranza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Bandeja de mora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 + permiso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ENT-039,040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/api/v1/backoffice/loans/{id}/collection-actions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Cobranza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Registrar gestión respetuosa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ENT-040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/api/v1/backoffice/loans/{id}/regularization-agreements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acuerdo autorizado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ENT-041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UI-039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/api/v1/me/notifications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comunicaciones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ENT-042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UI-024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API-057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/api/v1/service-cases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Cliente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reclamo o solicitud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ENT-043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UI-025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API-058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/api/v1/service-cases/{id}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Propietario/interno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seguimiento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Sesión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ENT-043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UI-025,045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API-059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/api/v1/backoffice/audit-events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Auditor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Consultar auditoría filtrada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 + permiso + MFA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ENT-044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UI-042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API-060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/api/v1/backoffice/reports/portfolio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Indicadores operativos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Paginado/corte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ENT-047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UI-043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API-061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/api/v1/backoffice/users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usuarios internos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 + MFA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ENT-002,008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API-062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PUT</w:t>
              <w:br/>
              <w:t>/api/v1/backoffice/users/{id}/roles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Asignar/revocar rol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ENT-008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UI-026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API-063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GET</w:t>
              <w:br/>
              <w:t>/api/v1/backoffice/parameter-sets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 autorizado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Listar parámetros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Paginado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API-064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/api/v1/backoffice/parameter-sets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Administrador + aprobación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Crear versión futura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ENT-019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UI-040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API-065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POST</w:t>
              <w:br/>
              <w:t>/api/v1/backoffice/origination-pauses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Pausar originación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Idempotency-Key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UI-041</w:t>
            </w:r>
          </w:p>
        </w:tc>
      </w:tr>
      <w:tr>
        <w:tc>
          <w:tcPr>
            <w:tcW w:type="dxa" w:w="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4"/>
              </w:rPr>
              <w:t>API-066</w:t>
            </w:r>
          </w:p>
        </w:tc>
        <w:tc>
          <w:tcPr>
            <w:tcW w:type="dxa" w:w="22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DELETE</w:t>
              <w:br/>
              <w:t>/api/v1/backoffice/origination-pauses/{id}</w:t>
            </w:r>
          </w:p>
        </w:tc>
        <w:tc>
          <w:tcPr>
            <w:tcW w:type="dxa" w:w="1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Supervisor</w:t>
            </w:r>
          </w:p>
        </w:tc>
        <w:tc>
          <w:tcPr>
            <w:tcW w:type="dxa" w:w="20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Levantar pausa autorizada</w:t>
            </w:r>
          </w:p>
        </w:tc>
        <w:tc>
          <w:tcPr>
            <w:tcW w:type="dxa" w:w="15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CSRF + MFA + If-Match</w:t>
            </w:r>
          </w:p>
        </w:tc>
        <w:tc>
          <w:tcPr>
            <w:tcW w:type="dxa" w:w="7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ENT-046</w:t>
            </w:r>
          </w:p>
        </w:tc>
        <w:tc>
          <w:tcPr>
            <w:tcW w:type="dxa" w:w="6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4"/>
              </w:rPr>
              <w:t>UI-041</w:t>
            </w:r>
          </w:p>
        </w:tc>
      </w:tr>
    </w:tbl>
    <w:p>
      <w:pPr>
        <w:spacing w:after="40"/>
      </w:pPr>
    </w:p>
    <w:p>
      <w:pPr>
        <w:pStyle w:val="Heading2"/>
      </w:pPr>
      <w:r>
        <w:t>5. Esquemas canónicos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4700"/>
        <w:gridCol w:w="28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Esquema</w:t>
            </w:r>
          </w:p>
        </w:tc>
        <w:tc>
          <w:tcPr>
            <w:tcW w:type="dxa" w:w="4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Campos esenciales</w:t>
            </w:r>
          </w:p>
        </w:tc>
        <w:tc>
          <w:tcPr>
            <w:tcW w:type="dxa" w:w="2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Reglas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Money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amount: string decimal; currency: 'PEN'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Dos decimales; no número binario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Rate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value: string decimal; basis: TEA|TCEA_ESTIMATED|MORATORY_TEA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Precisión suficiente; etiqueta visible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Simulation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id, parameterSetVersion, principal, termMonths, tea, tceaEstimated, installment, totalPaid, costPer100, expiresAt, disclaimer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vinculante; snapshot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Application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id, applicationNo, status, requestedTerms, pendingActions, version, submittedAt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Campos visibles según actor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Offer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id, offerNo, status, amount, termMonths, tea, tcea, installment, totalPaid, validUntil, documentLinks, version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Aceptación exige versión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Loan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id, loanNo, status, principal, outstandingPrincipal, nextInstallment, daysPastDue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Saldo oficial desde backend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Problem</w:t>
            </w:r>
          </w:p>
        </w:tc>
        <w:tc>
          <w:tcPr>
            <w:tcW w:type="dxa" w:w="4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type, title, status, detail, instance, code, correlationId, fieldErrors[]</w:t>
            </w:r>
          </w:p>
        </w:tc>
        <w:tc>
          <w:tcPr>
            <w:tcW w:type="dxa" w:w="2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 stack trace ni señales antifraude</w:t>
            </w:r>
          </w:p>
        </w:tc>
      </w:tr>
    </w:tbl>
    <w:p>
      <w:pPr>
        <w:spacing w:after="40"/>
      </w:pPr>
    </w:p>
    <w:p>
      <w:pPr>
        <w:pStyle w:val="Heading2"/>
      </w:pPr>
      <w:r>
        <w:t>6. Ejemplos transparentes</w:t>
      </w:r>
    </w:p>
    <w:p>
      <w:r>
        <w:rPr>
          <w:rFonts w:ascii="Arial" w:hAnsi="Arial"/>
          <w:color w:val="000000"/>
          <w:sz w:val="22"/>
        </w:rPr>
        <w:t>Solicitud de simulación (referencia preliminar):</w:t>
      </w:r>
    </w:p>
    <w:p>
      <w:r>
        <w:rPr>
          <w:rFonts w:ascii="Courier New" w:hAnsi="Courier New"/>
          <w:sz w:val="17"/>
        </w:rPr>
        <w:t>{</w:t>
        <w:br/>
        <w:t xml:space="preserve">  "principal": {"amount": "800.00", "currency": "PEN"},</w:t>
        <w:br/>
        <w:t xml:space="preserve">  "termMonths": 4,</w:t>
        <w:br/>
        <w:t xml:space="preserve">  "requestedStartDate": "2026-08-29"</w:t>
        <w:br/>
        <w:t>}</w:t>
      </w:r>
    </w:p>
    <w:p>
      <w:r>
        <w:rPr>
          <w:rFonts w:ascii="Arial" w:hAnsi="Arial"/>
          <w:color w:val="000000"/>
          <w:sz w:val="22"/>
        </w:rPr>
        <w:t>Respuesta de simulación (los valores exactos deben provenir del motor y casos patrón aprobados):</w:t>
      </w:r>
    </w:p>
    <w:p>
      <w:r>
        <w:rPr>
          <w:rFonts w:ascii="Courier New" w:hAnsi="Courier New"/>
          <w:sz w:val="17"/>
        </w:rPr>
        <w:t>{</w:t>
        <w:br/>
        <w:t xml:space="preserve">  "id": "sim_...",</w:t>
        <w:br/>
        <w:t xml:space="preserve">  "parameterSetVersion": "NEW-1.0",</w:t>
        <w:br/>
        <w:t xml:space="preserve">  "principal": {"amount": "800.00", "currency": "PEN"},</w:t>
        <w:br/>
        <w:t xml:space="preserve">  "termMonths": 4, "tea": "0.45000000",</w:t>
        <w:br/>
        <w:t xml:space="preserve">  "installment": {"amount": "...", "currency": "PEN"},</w:t>
        <w:br/>
        <w:t xml:space="preserve">  "tceaEstimated": "...", "totalPaid": {"amount": "...", "currency": "PEN"},</w:t>
        <w:br/>
        <w:t xml:space="preserve">  "costPer100": {"amount": "...", "currency": "PEN"},</w:t>
        <w:br/>
        <w:t xml:space="preserve">  "disclaimer": "Simulación no vinculante; sujeta a evaluación y aprobación."</w:t>
        <w:br/>
        <w:t>}</w:t>
      </w:r>
    </w:p>
    <w:p>
      <w:r>
        <w:rPr>
          <w:rFonts w:ascii="Arial" w:hAnsi="Arial"/>
          <w:color w:val="000000"/>
          <w:sz w:val="22"/>
        </w:rPr>
        <w:t>Problema de validación:</w:t>
      </w:r>
    </w:p>
    <w:p>
      <w:r>
        <w:rPr>
          <w:rFonts w:ascii="Courier New" w:hAnsi="Courier New"/>
          <w:sz w:val="17"/>
        </w:rPr>
        <w:t>{</w:t>
        <w:br/>
        <w:t xml:space="preserve">  "type": "https://sanmartin.finanzas/problems/validation",</w:t>
        <w:br/>
        <w:t xml:space="preserve">  "title": "Datos inválidos", "status": 422,</w:t>
        <w:br/>
        <w:t xml:space="preserve">  "code": "VALIDATION_FAILED", "correlationId": "...",</w:t>
        <w:br/>
        <w:t xml:space="preserve">  "fieldErrors": [{"field": "principal.amount", "code": "OUT_OF_RANGE"}]</w:t>
        <w:br/>
        <w:t>}</w:t>
      </w:r>
    </w:p>
    <w:p>
      <w:pPr>
        <w:pStyle w:val="Heading2"/>
      </w:pPr>
      <w:r>
        <w:t>7. Permisos y controles reforzados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500"/>
        <w:gridCol w:w="3700"/>
        <w:gridCol w:w="3820"/>
      </w:tblGrid>
      <w:tr>
        <w:trPr>
          <w:tblHeader w:val="true"/>
        </w:trPr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Rol</w:t>
            </w:r>
          </w:p>
        </w:tc>
        <w:tc>
          <w:tcPr>
            <w:tcW w:type="dxa" w:w="37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Alcance</w:t>
            </w:r>
          </w:p>
        </w:tc>
        <w:tc>
          <w:tcPr>
            <w:tcW w:type="dxa" w:w="38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Operaciones críticas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Cliente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Solo recursos propios y acciones permitidas por estado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Aceptación contractual reforzada; no decide ni concilia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Analista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Expedientes asignados y evaluación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aprueba su propia excepción ni confirma dinero si hay conflicto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Supervisor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Excepciones, reversos, pausas y supervisión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MFA, motivo y auditoría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Operaciones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Desembolso/pago según asignación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Referencia única; no modifica decisión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Cumplimiento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Controles y casos autorizados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Acceso mínimo a datos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Administrador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Usuarios, roles y parámetros según segregación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No autoelevarse; parámetros requieren aprobación</w:t>
            </w:r>
          </w:p>
        </w:tc>
      </w:tr>
      <w:tr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Auditor</w:t>
            </w:r>
          </w:p>
        </w:tc>
        <w:tc>
          <w:tcPr>
            <w:tcW w:type="dxa" w:w="37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Lectura de evidencia autorizada</w:t>
            </w:r>
          </w:p>
        </w:tc>
        <w:tc>
          <w:tcPr>
            <w:tcW w:type="dxa" w:w="38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Sin mutación</w:t>
            </w:r>
          </w:p>
        </w:tc>
      </w:tr>
    </w:tbl>
    <w:p>
      <w:pPr>
        <w:spacing w:after="40"/>
      </w:pPr>
    </w:p>
    <w:p>
      <w:pPr>
        <w:pStyle w:val="Heading2"/>
      </w:pPr>
      <w:r>
        <w:t>8. Compatibilidad, seguridad y pruebas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El archivo OpenAPI es fuente contractual y valida ejemplos, códigos, formatos y seguridad en CI.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Pruebas negativas cubren IDOR/BOLA, escalamiento de privilegios, CSRF, duplicidad, replay, payload excesivo y enumeración.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Rate limiting y antiabuso son configurables por ruta/actor; 429 incluye Retry-After sin revelar cuentas.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Los callbacks de proveedor, cuando se elijan, usarán autenticación fuerte, firma, timestamp, replay protection e idempotencia; no se exponen aún como API aprobada.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La web no guarda tokens en localStorage ni calcula saldos como verdad oficial.</w:t>
      </w:r>
    </w:p>
    <w:p>
      <w:pPr>
        <w:pStyle w:val="Heading2"/>
      </w:pPr>
      <w:r>
        <w:t>9. Trazabilidad de recorridos</w:t>
      </w:r>
    </w:p>
    <w:tbl>
      <w:tblPr>
        <w:tblStyle w:val="TableGrid"/>
        <w:tblW w:type="dxa" w:w="9020"/>
        <w:tblLayout w:type="fixed"/>
        <w:tblLook w:firstColumn="1" w:firstRow="1" w:lastColumn="0" w:lastRow="0" w:noHBand="0" w:noVBand="1" w:val="04A0"/>
      </w:tblPr>
      <w:tblGrid>
        <w:gridCol w:w="1800"/>
        <w:gridCol w:w="1650"/>
        <w:gridCol w:w="1500"/>
        <w:gridCol w:w="2150"/>
        <w:gridCol w:w="1920"/>
      </w:tblGrid>
      <w:tr>
        <w:trPr>
          <w:tblHeader w:val="true"/>
        </w:trPr>
        <w:tc>
          <w:tcPr>
            <w:tcW w:type="dxa" w:w="18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Recorrido</w:t>
            </w:r>
          </w:p>
        </w:tc>
        <w:tc>
          <w:tcPr>
            <w:tcW w:type="dxa" w:w="16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API</w:t>
            </w:r>
          </w:p>
        </w:tc>
        <w:tc>
          <w:tcPr>
            <w:tcW w:type="dxa" w:w="150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Entidad</w:t>
            </w:r>
          </w:p>
        </w:tc>
        <w:tc>
          <w:tcPr>
            <w:tcW w:type="dxa" w:w="215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UI</w:t>
            </w:r>
          </w:p>
        </w:tc>
        <w:tc>
          <w:tcPr>
            <w:tcW w:type="dxa" w:w="1920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Caso / Sprint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Registro y acceso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API-001 a 009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ENT-001 a 008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UI-001 a 005,026,027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CU-001,002 / Sprint 1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Perfil e identidad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API-010 a 020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ENT-009 a 018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UI-006 a 011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CU-003,004 / Sprint 2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Simulación y solicitud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API-021 a 030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ENT-019 a 025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UI-012 a 017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CU-005,006 / Sprint 2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Evaluación y contrato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API-031 a 042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ENT-023 a 031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UI-028 a 035,018,019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CU-007 a 009 / Sprint 3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000000"/>
                <w:sz w:val="16"/>
              </w:rPr>
              <w:t>Crédito y pagos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API-043 a 055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ENT-032 a 041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UI-020 a 023,036 a 039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CU-010 a 013 / Sprint 4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Atención y supervisión</w:t>
            </w:r>
          </w:p>
        </w:tc>
        <w:tc>
          <w:tcPr>
            <w:tcW w:type="dxa" w:w="16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API-056 a 066</w:t>
            </w:r>
          </w:p>
        </w:tc>
        <w:tc>
          <w:tcPr>
            <w:tcW w:type="dxa" w:w="1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ENT-042 a 048</w:t>
            </w:r>
          </w:p>
        </w:tc>
        <w:tc>
          <w:tcPr>
            <w:tcW w:type="dxa" w:w="21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UI-024 a 026,040 a 046</w:t>
            </w:r>
          </w:p>
        </w:tc>
        <w:tc>
          <w:tcPr>
            <w:tcW w:type="dxa" w:w="1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color w:val="000000"/>
                <w:sz w:val="16"/>
              </w:rPr>
              <w:t>CU-014,015 / Sprint 4</w:t>
            </w:r>
          </w:p>
        </w:tc>
      </w:tr>
    </w:tbl>
    <w:p>
      <w:pPr>
        <w:spacing w:after="40"/>
      </w:pPr>
    </w:p>
    <w:p>
      <w:pPr>
        <w:pStyle w:val="Heading2"/>
      </w:pPr>
      <w:r>
        <w:t>Fuentes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Guía Maestra de Documentación de San Martín Finanzas; Plan de Desarrollo y Entregas del MVP; documentos oficiales 1 al 16.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Oracle. Java SE Support Roadmap (Java 25 LTS): https://www.oracle.com/asean/java/technologies/java-se-support-roadmap.html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Boot 4.1 system requirements y referencia: https://docs.spring.io/spring-boot/system-requirements.html y https://docs.spring.io/spring-boot/index.html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Spring. Spring Modulith 2.1 reference: https://docs.spring.io/spring-modulith/reference/index.html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Spring Security. Session Management: https://docs.spring.io/spring-security/reference/servlet/authentication/session-management.html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PostgreSQL Global Development Group. Versioning Policy: https://www.postgresql.org/support/versioning/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Redgate. Flyway Supported Database Versions: https://documentation.red-gate.com/fd/supported-database-versions-143754067.html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Vercel. Next.js installation and system requirements: https://nextjs.org/docs/app/getting-started/installation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OpenJS Foundation. Node.js releases: https://nodejs.org/en/about/previous-releases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OpenAPI Initiative. OpenAPI Specification 3.1.2: https://spec.openapis.org/oas/v3.1.2.html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IETF. RFC 9457, Problem Details for HTTP APIs: https://www.rfc-editor.org/rfc/rfc9457.html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OWASP. ASVS 5.0.0: https://owasp.org/www-project-application-security-verification-standard/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21. DISENO DE APIS</dc:title>
  <dc:subject>Fase 5 - Diseño del sistema</dc:subject>
  <dc:creator>San Martin Finanzas</dc:creator>
  <cp:keywords>arquitectura, software, datos, API, UI UX, microprestamos, San Martin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