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</w:pPr>
      <w:r>
        <w:t>INVESTIGACIÓN DE MERCADO</w:t>
      </w:r>
    </w:p>
    <w:p>
      <w:pPr>
        <w:pStyle w:val="Heading2"/>
      </w:pPr>
      <w:r>
        <w:t>Plataforma Digital de Micropréstamos para la Región San Martín</w:t>
      </w:r>
    </w:p>
    <w:p>
      <w:r>
        <w:t>Nombre provisional del proyecto: San Martin Finanzas</w:t>
        <w:br/>
        <w:t>Nombre comercial de la plataforma: San Martin Finanzas</w:t>
        <w:br/>
        <w:t>Versión del documento: 1.0</w:t>
        <w:br/>
        <w:t>Fecha de elaboración: 15/08/2026</w:t>
        <w:br/>
        <w:t>Promotor e inversionista: Ing. Ronal Ríos Romero</w:t>
        <w:br/>
        <w:t>Consultoría de software: Carlos Humberto Gonzales y Leonardo Jesús Gonzales</w:t>
        <w:br/>
        <w:t>Estado: Borrador profesional para revisión</w:t>
      </w:r>
    </w:p>
    <w:p>
      <w:pPr>
        <w:pStyle w:val="Heading2"/>
      </w:pPr>
      <w:r>
        <w:t>1. Propósito del documento</w:t>
      </w:r>
    </w:p>
    <w:p>
      <w:r>
        <w:t>El presente documento analiza el mercado de crédito digital y microfinanzas que puede servir de referencia para San Martin Finanzas. Su propósito es identificar necesidades regionales, comparar ofertas observables, reconocer prácticas que generan confianza y proponer una primera configuración comercial cuantitativa para el piloto.</w:t>
      </w:r>
    </w:p>
    <w:p>
      <w:r>
        <w:t>La propuesta financiera es referencial. No constituye una política aprobada y deberá ser revisada por el inversionista, un especialista financiero, un contador y un abogado antes de comprometer capital o contratar con usuarios.</w:t>
      </w:r>
    </w:p>
    <w:p>
      <w:pPr>
        <w:pStyle w:val="Heading2"/>
      </w:pPr>
      <w:r>
        <w:t>2. Alcance, metodología y fecha de corte</w:t>
      </w:r>
    </w:p>
    <w:p>
      <w:r>
        <w:t>La investigación tiene fecha de corte 15 de agosto de 2026. Se revisaron los documentos oficiales del proyecto, estadísticas públicas, páginas de empresas, términos contractuales y fuentes regulatorias. Las condiciones comerciales de terceros pueden cambiar y deben volver a comprobarse antes de una decisión de lanzamiento.</w:t>
      </w:r>
    </w:p>
    <w:p>
      <w:pPr>
        <w:numPr>
          <w:ilvl w:val="0"/>
          <w:numId w:val="31"/>
        </w:numPr>
      </w:pPr>
      <w:r>
        <w:t>Cobertura: Perú, con énfasis en la región San Martín.</w:t>
      </w:r>
    </w:p>
    <w:p>
      <w:pPr>
        <w:numPr>
          <w:ilvl w:val="0"/>
          <w:numId w:val="31"/>
        </w:numPr>
      </w:pPr>
      <w:r>
        <w:t>Producto: micropréstamos digitales no garantizados financiados con capital propio.</w:t>
      </w:r>
    </w:p>
    <w:p>
      <w:pPr>
        <w:numPr>
          <w:ilvl w:val="0"/>
          <w:numId w:val="31"/>
        </w:numPr>
      </w:pPr>
      <w:r>
        <w:t>Comparación: monto, plazo, TEA o costo informado, cargos, desembolso, pago y experiencia.</w:t>
      </w:r>
    </w:p>
    <w:p>
      <w:pPr>
        <w:numPr>
          <w:ilvl w:val="0"/>
          <w:numId w:val="31"/>
        </w:numPr>
      </w:pPr>
      <w:r>
        <w:t>Criterio: distinguir información oficial, observación de mercado, inferencia y recomendación.</w:t>
      </w:r>
    </w:p>
    <w:p>
      <w:pPr>
        <w:numPr>
          <w:ilvl w:val="0"/>
          <w:numId w:val="31"/>
        </w:numPr>
      </w:pPr>
      <w:r>
        <w:t>Limitación: no se realizaron solicitudes reales, entrevistas, pruebas de usuario ni consultas pagadas a centrales de riesgo.</w:t>
      </w:r>
    </w:p>
    <w:p>
      <w:pPr>
        <w:pStyle w:val="Heading2"/>
      </w:pPr>
      <w:r>
        <w:t>3. Contexto del mercado peruano y regional</w:t>
      </w:r>
    </w:p>
    <w:p>
      <w:r>
        <w:t>La región presenta una combinación favorable para validar una alternativa formal: adopción financiera relevante, una brecha todavía visible y una economía con fuerte presencia de actividades independientes y pequeños negocios. La SBS informó en julio de 2026 que 66% de los adultos de San Martín tenía alguna cuenta financiera o billetera móvil, frente a 72% a nivel nacional; solo 11% reportaba ahorrar en el sistema y 26% utilizaba mecanismos externos como juntas, bienes o efectivo guardado.</w:t>
      </w:r>
    </w:p>
    <w:p>
      <w:r>
        <w:t>El saldo de crédito directo del sistema financiero al sector privado en San Martín llegó aproximadamente a S/ 3,908 millones al cierre del cuarto trimestre de 2025 según BCRPData. El dato demuestra actividad crediticia, pero no prueba que el público objetivo reciba productos pequeños, rápidos o adecuados. Por su parte, OSIPTEL ofrece información de cobertura móvil actualizada al primer trimestre de 2026; esto respalda un canal digital, aunque la cobertura y calidad deben comprobarse por distrito durante el piloto.</w:t>
      </w:r>
    </w:p>
    <w:tbl>
      <w:tblPr>
        <w:tblW w:type="dxa" w:w="9028"/>
        <w:tblLayout w:type="fixed"/>
        <w:tblLook w:firstColumn="1" w:firstRow="1" w:lastColumn="0" w:lastRow="0" w:noHBand="0" w:noVBand="1" w:val="04A0"/>
        <w:tblInd w:w="120" w:type="dxa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50"/>
        <w:gridCol w:w="1500"/>
        <w:gridCol w:w="5078"/>
      </w:tblGrid>
      <w:tr>
        <w:trPr>
          <w:tblHeader w:val="true"/>
        </w:trPr>
        <w:tc>
          <w:tcPr>
            <w:tcW w:type="dxa" w:w="2450"/>
            <w:vAlign w:val="center"/>
          </w:tcPr>
          <w:p>
            <w:pPr>
              <w:spacing w:after="0"/>
            </w:pPr>
            <w:r>
              <w:rPr>
                <w:b/>
              </w:rPr>
              <w:t>Indicador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b/>
              </w:rPr>
              <w:t>Dato</w:t>
            </w:r>
          </w:p>
        </w:tc>
        <w:tc>
          <w:tcPr>
            <w:tcW w:type="dxa" w:w="5078"/>
            <w:vAlign w:val="center"/>
          </w:tcPr>
          <w:p>
            <w:pPr>
              <w:spacing w:after="0"/>
            </w:pPr>
            <w:r>
              <w:rPr>
                <w:b/>
              </w:rPr>
              <w:t>Lectura para el proyecto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0"/>
              <w:jc w:val="left"/>
            </w:pPr>
            <w:r>
              <w:t>Adultos con cuenta o billetera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t>66%</w:t>
            </w:r>
          </w:p>
        </w:tc>
        <w:tc>
          <w:tcPr>
            <w:tcW w:type="dxa" w:w="5078"/>
            <w:vAlign w:val="center"/>
          </w:tcPr>
          <w:p>
            <w:pPr>
              <w:spacing w:after="0"/>
              <w:jc w:val="left"/>
            </w:pPr>
            <w:r>
              <w:t>Base digital existente, inferior al promedio nacional de 72%.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0"/>
              <w:jc w:val="left"/>
            </w:pPr>
            <w:r>
              <w:t>Adultos que ahorran formalmente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t>11%</w:t>
            </w:r>
          </w:p>
        </w:tc>
        <w:tc>
          <w:tcPr>
            <w:tcW w:type="dxa" w:w="5078"/>
            <w:vAlign w:val="center"/>
          </w:tcPr>
          <w:p>
            <w:pPr>
              <w:spacing w:after="0"/>
              <w:jc w:val="left"/>
            </w:pPr>
            <w:r>
              <w:t>Persisten baja profundidad financiera y necesidad de educación.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0"/>
              <w:jc w:val="left"/>
            </w:pPr>
            <w:r>
              <w:t>Uso de mecanismos externos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t>26%</w:t>
            </w:r>
          </w:p>
        </w:tc>
        <w:tc>
          <w:tcPr>
            <w:tcW w:type="dxa" w:w="5078"/>
            <w:vAlign w:val="center"/>
          </w:tcPr>
          <w:p>
            <w:pPr>
              <w:spacing w:after="0"/>
              <w:jc w:val="left"/>
            </w:pPr>
            <w:r>
              <w:t>Existe exposición a soluciones informales y oportunidad de confianza.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0"/>
              <w:jc w:val="left"/>
            </w:pPr>
            <w:r>
              <w:t>Crédito regional al sector privado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t>S/ 3,908 millones</w:t>
            </w:r>
          </w:p>
        </w:tc>
        <w:tc>
          <w:tcPr>
            <w:tcW w:type="dxa" w:w="5078"/>
            <w:vAlign w:val="center"/>
          </w:tcPr>
          <w:p>
            <w:pPr>
              <w:spacing w:after="0"/>
              <w:jc w:val="left"/>
            </w:pPr>
            <w:r>
              <w:t>Mercado activo; falta segmentar microcrédito digital pequeño.</w:t>
            </w:r>
          </w:p>
        </w:tc>
      </w:tr>
    </w:tbl>
    <w:p/>
    <w:p>
      <w:pPr>
        <w:pStyle w:val="Heading2"/>
      </w:pPr>
      <w:r>
        <w:t>4. Segmentos objetivo y necesidades observables</w:t>
      </w:r>
    </w:p>
    <w:tbl>
      <w:tblPr>
        <w:tblW w:type="dxa" w:w="9028"/>
        <w:tblLayout w:type="fixed"/>
        <w:tblLook w:firstColumn="1" w:firstRow="1" w:lastColumn="0" w:lastRow="0" w:noHBand="0" w:noVBand="1" w:val="04A0"/>
        <w:tblInd w:w="120" w:type="dxa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00"/>
        <w:gridCol w:w="3300"/>
        <w:gridCol w:w="3428"/>
      </w:tblGrid>
      <w:tr>
        <w:trPr>
          <w:tblHeader w:val="true"/>
        </w:trP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b/>
              </w:rPr>
              <w:t>Segmento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b/>
              </w:rPr>
              <w:t>Necesidad principal</w:t>
            </w:r>
          </w:p>
        </w:tc>
        <w:tc>
          <w:tcPr>
            <w:tcW w:type="dxa" w:w="3428"/>
            <w:vAlign w:val="center"/>
          </w:tcPr>
          <w:p>
            <w:pPr>
              <w:spacing w:after="0"/>
            </w:pPr>
            <w:r>
              <w:rPr>
                <w:b/>
              </w:rPr>
              <w:t>Riesgo o restricción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  <w:jc w:val="left"/>
            </w:pPr>
            <w:r>
              <w:t>Trabajador dependiente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t>Liquidez para gastos imprevistos con cuota previsible.</w:t>
            </w:r>
          </w:p>
        </w:tc>
        <w:tc>
          <w:tcPr>
            <w:tcW w:type="dxa" w:w="3428"/>
            <w:vAlign w:val="center"/>
          </w:tcPr>
          <w:p>
            <w:pPr>
              <w:spacing w:after="0"/>
              <w:jc w:val="left"/>
            </w:pPr>
            <w:r>
              <w:t>Sobreendeudamiento y descuentos no alineados con fecha de ingreso.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  <w:jc w:val="left"/>
            </w:pPr>
            <w:r>
              <w:t>Trabajador independiente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t>Capital pequeño pese a ingresos variables.</w:t>
            </w:r>
          </w:p>
        </w:tc>
        <w:tc>
          <w:tcPr>
            <w:tcW w:type="dxa" w:w="3428"/>
            <w:vAlign w:val="center"/>
          </w:tcPr>
          <w:p>
            <w:pPr>
              <w:spacing w:after="0"/>
              <w:jc w:val="left"/>
            </w:pPr>
            <w:r>
              <w:t>Dificultad para demostrar capacidad de pago con documentos tradicionales.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  <w:jc w:val="left"/>
            </w:pPr>
            <w:r>
              <w:t>Comerciante o emprendedor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t>Compra de inventario o cobertura de brechas de caja.</w:t>
            </w:r>
          </w:p>
        </w:tc>
        <w:tc>
          <w:tcPr>
            <w:tcW w:type="dxa" w:w="3428"/>
            <w:vAlign w:val="center"/>
          </w:tcPr>
          <w:p>
            <w:pPr>
              <w:spacing w:after="0"/>
              <w:jc w:val="left"/>
            </w:pPr>
            <w:r>
              <w:t>Estacionalidad, informalidad y mezcla de finanzas personales y del negocio.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  <w:jc w:val="left"/>
            </w:pPr>
            <w:r>
              <w:t>Cliente con historial limitado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t>Primera oportunidad formal y construcción de comportamiento.</w:t>
            </w:r>
          </w:p>
        </w:tc>
        <w:tc>
          <w:tcPr>
            <w:tcW w:type="dxa" w:w="3428"/>
            <w:vAlign w:val="center"/>
          </w:tcPr>
          <w:p>
            <w:pPr>
              <w:spacing w:after="0"/>
              <w:jc w:val="left"/>
            </w:pPr>
            <w:r>
              <w:t>Mayor incertidumbre de riesgo y vulnerabilidad a ofertas engañosas.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  <w:jc w:val="left"/>
            </w:pPr>
            <w:r>
              <w:t>Cliente recurrente puntual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t>Mayor monto, mejor tasa y proceso más corto.</w:t>
            </w:r>
          </w:p>
        </w:tc>
        <w:tc>
          <w:tcPr>
            <w:tcW w:type="dxa" w:w="3428"/>
            <w:vAlign w:val="center"/>
          </w:tcPr>
          <w:p>
            <w:pPr>
              <w:spacing w:after="0"/>
              <w:jc w:val="left"/>
            </w:pPr>
            <w:r>
              <w:t>El aumento automático puede inducir sobreendeudamiento.</w:t>
            </w:r>
          </w:p>
        </w:tc>
      </w:tr>
    </w:tbl>
    <w:p/>
    <w:p>
      <w:pPr>
        <w:pStyle w:val="Heading2"/>
      </w:pPr>
      <w:r>
        <w:t>5. Benchmark nacional</w:t>
      </w:r>
    </w:p>
    <w:p>
      <w:r>
        <w:t>Las ofertas no son perfectamente comparables. Prestamype opera principalmente con garantía inmobiliaria y montos muy superiores; DoctorSol y Solventa se acercan más al préstamo digital de libre disponibilidad. La información siguiente reproduce condiciones públicamente observables y no sustituye una cotización individual.</w:t>
      </w:r>
    </w:p>
    <w:tbl>
      <w:tblPr>
        <w:tblW w:type="dxa" w:w="9028"/>
        <w:tblLayout w:type="fixed"/>
        <w:tblLook w:firstColumn="1" w:firstRow="1" w:lastColumn="0" w:lastRow="0" w:noHBand="0" w:noVBand="1" w:val="04A0"/>
        <w:tblInd w:w="120" w:type="dxa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50"/>
        <w:gridCol w:w="2500"/>
        <w:gridCol w:w="2778"/>
        <w:gridCol w:w="2100"/>
      </w:tblGrid>
      <w:tr>
        <w:trPr>
          <w:tblHeader w:val="true"/>
        </w:trPr>
        <w:tc>
          <w:tcPr>
            <w:tcW w:type="dxa" w:w="1650"/>
            <w:vAlign w:val="center"/>
          </w:tcPr>
          <w:p>
            <w:pPr>
              <w:spacing w:after="0"/>
            </w:pPr>
            <w:r>
              <w:rPr>
                <w:b/>
              </w:rPr>
              <w:t>Referencia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b/>
              </w:rPr>
              <w:t>Oferta pública observada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</w:pPr>
            <w:r>
              <w:rPr>
                <w:b/>
              </w:rPr>
              <w:t>Costos informados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b/>
              </w:rPr>
              <w:t>Lectura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after="0"/>
              <w:jc w:val="left"/>
            </w:pPr>
            <w:r>
              <w:t>DoctorSol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t>Hasta S/ 600; hasta 61 días según ficha de Google Play.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  <w:jc w:val="left"/>
            </w:pPr>
            <w:r>
              <w:t>TEA 32%; ejemplo S/ 400, total S/ 426.30. La ficha afirma sin cargos ocultos, mientras los términos definen comisión de administración.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t>Proceso rápido y escalamiento por puntualidad; se debe verificar la oferta final del simulador.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after="0"/>
              <w:jc w:val="left"/>
            </w:pPr>
            <w:r>
              <w:t>Solventa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t>Préstamos de bajo monto; 61 a 365 días; ejemplos de S/ 350 y S/ 2,000.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  <w:jc w:val="left"/>
            </w:pPr>
            <w:r>
              <w:t>TEA 35%; cargos de terceros publicados: biometría S/ 18, desembolso/recaudo S/ 16 e Infocorp S/ 39 en un ejemplo.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t>La tasa anunciada puede ocultar un costo proporcional alto en montos pequeños; conviene eliminar cargos fijos.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after="0"/>
              <w:jc w:val="left"/>
            </w:pPr>
            <w:r>
              <w:t>Prestamype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t>S/ 15,000 a S/ 2 millones; 6 a 120 meses; garantía inmobiliaria.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  <w:jc w:val="left"/>
            </w:pPr>
            <w:r>
              <w:t>TCEA desde 21.27%; promedio declarado 35%.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t>No es competidor directo del MVP; sirve como referencia de transparencia y crédito productivo garantizado.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after="0"/>
              <w:jc w:val="left"/>
            </w:pPr>
            <w:r>
              <w:t>SolPrestado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t>Web pública: S/ 100 a S/ 10,000 y 91 a 150 días.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  <w:jc w:val="left"/>
            </w:pPr>
            <w:r>
              <w:t>La página muestra ejemplos y simulaciones internamente inconsistentes.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t>No usar como ancla de precio sin confirmar registro, contrato y cálculo; sí usar como alerta de transparencia.</w:t>
            </w:r>
          </w:p>
        </w:tc>
      </w:tr>
    </w:tbl>
    <w:p/>
    <w:p>
      <w:pPr>
        <w:pStyle w:val="Heading2"/>
      </w:pPr>
      <w:r>
        <w:t>6. Referentes internacionales</w:t>
      </w:r>
    </w:p>
    <w:tbl>
      <w:tblPr>
        <w:tblW w:type="dxa" w:w="9028"/>
        <w:tblLayout w:type="fixed"/>
        <w:tblLook w:firstColumn="1" w:firstRow="1" w:lastColumn="0" w:lastRow="0" w:noHBand="0" w:noVBand="1" w:val="04A0"/>
        <w:tblInd w:w="120" w:type="dxa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3500"/>
        <w:gridCol w:w="3728"/>
      </w:tblGrid>
      <w:tr>
        <w:trPr>
          <w:tblHeader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/>
              </w:rPr>
              <w:t>Referencia</w:t>
            </w:r>
          </w:p>
        </w:tc>
        <w:tc>
          <w:tcPr>
            <w:tcW w:type="dxa" w:w="3500"/>
            <w:vAlign w:val="center"/>
          </w:tcPr>
          <w:p>
            <w:pPr>
              <w:spacing w:after="0"/>
            </w:pPr>
            <w:r>
              <w:rPr>
                <w:b/>
              </w:rPr>
              <w:t>Práctica observable</w:t>
            </w:r>
          </w:p>
        </w:tc>
        <w:tc>
          <w:tcPr>
            <w:tcW w:type="dxa" w:w="3728"/>
            <w:vAlign w:val="center"/>
          </w:tcPr>
          <w:p>
            <w:pPr>
              <w:spacing w:after="0"/>
            </w:pPr>
            <w:r>
              <w:rPr>
                <w:b/>
              </w:rPr>
              <w:t>Aprendizaje aplicable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t>Kueski - México</w:t>
            </w:r>
          </w:p>
        </w:tc>
        <w:tc>
          <w:tcPr>
            <w:tcW w:type="dxa" w:w="3500"/>
            <w:vAlign w:val="center"/>
          </w:tcPr>
          <w:p>
            <w:pPr>
              <w:spacing w:after="0"/>
              <w:jc w:val="left"/>
            </w:pPr>
            <w:r>
              <w:t>Solicitud digital, cuotas quincenales o mensuales, costo anual total visible y prevención antifraude.</w:t>
            </w:r>
          </w:p>
        </w:tc>
        <w:tc>
          <w:tcPr>
            <w:tcW w:type="dxa" w:w="3728"/>
            <w:vAlign w:val="center"/>
          </w:tcPr>
          <w:p>
            <w:pPr>
              <w:spacing w:after="0"/>
              <w:jc w:val="left"/>
            </w:pPr>
            <w:r>
              <w:t>Mostrar costo total, canales oficiales y advertencias contra suplantación.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t>Tala - México/Centroamérica</w:t>
            </w:r>
          </w:p>
        </w:tc>
        <w:tc>
          <w:tcPr>
            <w:tcW w:type="dxa" w:w="3500"/>
            <w:vAlign w:val="center"/>
          </w:tcPr>
          <w:p>
            <w:pPr>
              <w:spacing w:after="0"/>
              <w:jc w:val="left"/>
            </w:pPr>
            <w:r>
              <w:t>Montos pequeños, plazos cortos, línea progresiva y pago anticipado sin penalidad.</w:t>
            </w:r>
          </w:p>
        </w:tc>
        <w:tc>
          <w:tcPr>
            <w:tcW w:type="dxa" w:w="3728"/>
            <w:vAlign w:val="center"/>
          </w:tcPr>
          <w:p>
            <w:pPr>
              <w:spacing w:after="0"/>
              <w:jc w:val="left"/>
            </w:pPr>
            <w:r>
              <w:t>Escalar por comportamiento, pero sin inducir renovación continua.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t>Branch - África/Asia</w:t>
            </w:r>
          </w:p>
        </w:tc>
        <w:tc>
          <w:tcPr>
            <w:tcW w:type="dxa" w:w="3500"/>
            <w:vAlign w:val="center"/>
          </w:tcPr>
          <w:p>
            <w:pPr>
              <w:spacing w:after="0"/>
              <w:jc w:val="left"/>
            </w:pPr>
            <w:r>
              <w:t>Precios y plazos diferenciados por riesgo; historial de pago influye en el siguiente monto.</w:t>
            </w:r>
          </w:p>
        </w:tc>
        <w:tc>
          <w:tcPr>
            <w:tcW w:type="dxa" w:w="3728"/>
            <w:vAlign w:val="center"/>
          </w:tcPr>
          <w:p>
            <w:pPr>
              <w:spacing w:after="0"/>
              <w:jc w:val="left"/>
            </w:pPr>
            <w:r>
              <w:t>Definir bandas de riesgo, límites y reglas explicables antes de automatizar.</w:t>
            </w:r>
          </w:p>
        </w:tc>
      </w:tr>
    </w:tbl>
    <w:p/>
    <w:p>
      <w:r>
        <w:t>Los costos internacionales no se trasladan directamente al Perú porque cambian moneda, regulación, riesgo, impuestos y poder adquisitivo. Se utilizan únicamente para identificar patrones de producto y experiencia.</w:t>
      </w:r>
    </w:p>
    <w:p>
      <w:pPr>
        <w:pStyle w:val="Heading2"/>
      </w:pPr>
      <w:r>
        <w:t>7. Comparación del recorrido del cliente</w:t>
      </w:r>
    </w:p>
    <w:tbl>
      <w:tblPr>
        <w:tblW w:type="dxa" w:w="9028"/>
        <w:tblLayout w:type="fixed"/>
        <w:tblLook w:firstColumn="1" w:firstRow="1" w:lastColumn="0" w:lastRow="0" w:noHBand="0" w:noVBand="1" w:val="04A0"/>
        <w:tblInd w:w="120" w:type="dxa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0"/>
        <w:gridCol w:w="3100"/>
        <w:gridCol w:w="4478"/>
      </w:tblGrid>
      <w:tr>
        <w:trPr>
          <w:tblHeader w:val="true"/>
        </w:trPr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b/>
              </w:rPr>
              <w:t>Etapa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b/>
              </w:rPr>
              <w:t>Práctica frecuente</w:t>
            </w:r>
          </w:p>
        </w:tc>
        <w:tc>
          <w:tcPr>
            <w:tcW w:type="dxa" w:w="4478"/>
            <w:vAlign w:val="center"/>
          </w:tcPr>
          <w:p>
            <w:pPr>
              <w:spacing w:after="0"/>
            </w:pPr>
            <w:r>
              <w:rPr>
                <w:b/>
              </w:rPr>
              <w:t>Estándar recomendado para San Martin Finanzas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/>
              <w:jc w:val="left"/>
            </w:pPr>
            <w:r>
              <w:t>Registro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  <w:jc w:val="left"/>
            </w:pPr>
            <w:r>
              <w:t>DNI, celular, correo y cuenta bancaria.</w:t>
            </w:r>
          </w:p>
        </w:tc>
        <w:tc>
          <w:tcPr>
            <w:tcW w:type="dxa" w:w="4478"/>
            <w:vAlign w:val="center"/>
          </w:tcPr>
          <w:p>
            <w:pPr>
              <w:spacing w:after="0"/>
              <w:jc w:val="left"/>
            </w:pPr>
            <w:r>
              <w:t>Registro breve, validación de identidad y explicación del uso de datos.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/>
              <w:jc w:val="left"/>
            </w:pPr>
            <w:r>
              <w:t>Solicitud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  <w:jc w:val="left"/>
            </w:pPr>
            <w:r>
              <w:t>Selección de monto y plazo antes de evaluación.</w:t>
            </w:r>
          </w:p>
        </w:tc>
        <w:tc>
          <w:tcPr>
            <w:tcW w:type="dxa" w:w="4478"/>
            <w:vAlign w:val="center"/>
          </w:tcPr>
          <w:p>
            <w:pPr>
              <w:spacing w:after="0"/>
              <w:jc w:val="left"/>
            </w:pPr>
            <w:r>
              <w:t>Simular primero; pedir solo información pertinente; guardar consentimiento.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/>
              <w:jc w:val="left"/>
            </w:pPr>
            <w:r>
              <w:t>Evaluación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  <w:jc w:val="left"/>
            </w:pPr>
            <w:r>
              <w:t>Buró, documentos y reglas internas no visibles.</w:t>
            </w:r>
          </w:p>
        </w:tc>
        <w:tc>
          <w:tcPr>
            <w:tcW w:type="dxa" w:w="4478"/>
            <w:vAlign w:val="center"/>
          </w:tcPr>
          <w:p>
            <w:pPr>
              <w:spacing w:after="0"/>
              <w:jc w:val="left"/>
            </w:pPr>
            <w:r>
              <w:t>Explicar categorías de información y registrar decisión, sin revelar controles antifraude.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/>
              <w:jc w:val="left"/>
            </w:pPr>
            <w:r>
              <w:t>Oferta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  <w:jc w:val="left"/>
            </w:pPr>
            <w:r>
              <w:t>Tasa destacada y cargos en documentos secundarios.</w:t>
            </w:r>
          </w:p>
        </w:tc>
        <w:tc>
          <w:tcPr>
            <w:tcW w:type="dxa" w:w="4478"/>
            <w:vAlign w:val="center"/>
          </w:tcPr>
          <w:p>
            <w:pPr>
              <w:spacing w:after="0"/>
              <w:jc w:val="left"/>
            </w:pPr>
            <w:r>
              <w:t>Mostrar monto neto, cuota, fechas, TEA, costo anual referencial, total y costo por S/ 100.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/>
              <w:jc w:val="left"/>
            </w:pPr>
            <w:r>
              <w:t>Desembolso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  <w:jc w:val="left"/>
            </w:pPr>
            <w:r>
              <w:t>Cuenta bancaria o billetera.</w:t>
            </w:r>
          </w:p>
        </w:tc>
        <w:tc>
          <w:tcPr>
            <w:tcW w:type="dxa" w:w="4478"/>
            <w:vAlign w:val="center"/>
          </w:tcPr>
          <w:p>
            <w:pPr>
              <w:spacing w:after="0"/>
              <w:jc w:val="left"/>
            </w:pPr>
            <w:r>
              <w:t>Desembolsar solo a una cuenta validada del titular y emitir constancia.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/>
              <w:jc w:val="left"/>
            </w:pPr>
            <w:r>
              <w:t>Pago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  <w:jc w:val="left"/>
            </w:pPr>
            <w:r>
              <w:t>Transferencias, pasarelas o agentes.</w:t>
            </w:r>
          </w:p>
        </w:tc>
        <w:tc>
          <w:tcPr>
            <w:tcW w:type="dxa" w:w="4478"/>
            <w:vAlign w:val="center"/>
          </w:tcPr>
          <w:p>
            <w:pPr>
              <w:spacing w:after="0"/>
              <w:jc w:val="left"/>
            </w:pPr>
            <w:r>
              <w:t>Canales verificados, conciliación, recibo inmediato y prepago sin penalidad.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/>
              <w:jc w:val="left"/>
            </w:pPr>
            <w:r>
              <w:t>Cobranza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  <w:jc w:val="left"/>
            </w:pPr>
            <w:r>
              <w:t>Recordatorios y, en algunos casos, cargos por atraso.</w:t>
            </w:r>
          </w:p>
        </w:tc>
        <w:tc>
          <w:tcPr>
            <w:tcW w:type="dxa" w:w="4478"/>
            <w:vAlign w:val="center"/>
          </w:tcPr>
          <w:p>
            <w:pPr>
              <w:spacing w:after="0"/>
              <w:jc w:val="left"/>
            </w:pPr>
            <w:r>
              <w:t>Recordatorio preventivo, 3 días de gracia, contacto respetuoso y acuerdo temprano.</w:t>
            </w:r>
          </w:p>
        </w:tc>
      </w:tr>
    </w:tbl>
    <w:p/>
    <w:p>
      <w:pPr>
        <w:pStyle w:val="Heading2"/>
      </w:pPr>
      <w:r>
        <w:t>8. Posicionamiento de precios</w:t>
      </w:r>
    </w:p>
    <w:p>
      <w:r>
        <w:t>Al 28 y 29 de julio de 2026, la SBS publicaba tasas promedio de 57.30% anual para créditos de consumo y 60.12% para microempresa en moneda nacional. El BCRP fijó en 114.13% anual la tasa máxima convencional compensatoria aplicable del 1 de mayo al 31 de octubre de 2026. La propuesta competitiva de 45% TEA para nuevos clientes queda por debajo de ambos promedios y muy por debajo del tope, pero su sostenibilidad exige controlar mora, costo operativo y costo de capital.</w:t>
      </w:r>
    </w:p>
    <w:tbl>
      <w:tblPr>
        <w:tblW w:type="dxa" w:w="9028"/>
        <w:tblLayout w:type="fixed"/>
        <w:tblLook w:firstColumn="1" w:firstRow="1" w:lastColumn="0" w:lastRow="0" w:noHBand="0" w:noVBand="1" w:val="04A0"/>
        <w:tblInd w:w="120" w:type="dxa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00"/>
        <w:gridCol w:w="2000"/>
        <w:gridCol w:w="3728"/>
      </w:tblGrid>
      <w:tr>
        <w:trPr>
          <w:tblHeader w:val="true"/>
        </w:trPr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b/>
              </w:rPr>
              <w:t>Referencia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/>
              </w:rPr>
              <w:t>Tasa/costo publicado</w:t>
            </w:r>
          </w:p>
        </w:tc>
        <w:tc>
          <w:tcPr>
            <w:tcW w:type="dxa" w:w="3728"/>
            <w:vAlign w:val="center"/>
          </w:tcPr>
          <w:p>
            <w:pPr>
              <w:spacing w:after="0"/>
            </w:pPr>
            <w:r>
              <w:rPr>
                <w:b/>
              </w:rPr>
              <w:t>Comparabilidad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t>Promedio sistema - consumo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center"/>
            </w:pPr>
            <w:r>
              <w:t>57.30% anual</w:t>
            </w:r>
          </w:p>
        </w:tc>
        <w:tc>
          <w:tcPr>
            <w:tcW w:type="dxa" w:w="3728"/>
            <w:vAlign w:val="center"/>
          </w:tcPr>
          <w:p>
            <w:pPr>
              <w:spacing w:after="0"/>
              <w:jc w:val="left"/>
            </w:pPr>
            <w:r>
              <w:t>Referencia amplia; incluye productos y riesgos diversos.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t>Promedio sistema - microempresa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center"/>
            </w:pPr>
            <w:r>
              <w:t>60.12% anual</w:t>
            </w:r>
          </w:p>
        </w:tc>
        <w:tc>
          <w:tcPr>
            <w:tcW w:type="dxa" w:w="3728"/>
            <w:vAlign w:val="center"/>
          </w:tcPr>
          <w:p>
            <w:pPr>
              <w:spacing w:after="0"/>
              <w:jc w:val="left"/>
            </w:pPr>
            <w:r>
              <w:t>Referencia útil para pequeños negocios, no idéntica al MVP.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t>Tope BCRP mayo-octubre 2026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center"/>
            </w:pPr>
            <w:r>
              <w:t>114.13% anual</w:t>
            </w:r>
          </w:p>
        </w:tc>
        <w:tc>
          <w:tcPr>
            <w:tcW w:type="dxa" w:w="3728"/>
            <w:vAlign w:val="center"/>
          </w:tcPr>
          <w:p>
            <w:pPr>
              <w:spacing w:after="0"/>
              <w:jc w:val="left"/>
            </w:pPr>
            <w:r>
              <w:t>Límite legal, nunca objetivo comercial.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t>Propuesta cliente nuevo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center"/>
            </w:pPr>
            <w:r>
              <w:t>45.00% TEA, sin comisión</w:t>
            </w:r>
          </w:p>
        </w:tc>
        <w:tc>
          <w:tcPr>
            <w:tcW w:type="dxa" w:w="3728"/>
            <w:vAlign w:val="center"/>
          </w:tcPr>
          <w:p>
            <w:pPr>
              <w:spacing w:after="0"/>
              <w:jc w:val="left"/>
            </w:pPr>
            <w:r>
              <w:t>Posición inferior al promedio, sujeta a validación.</w:t>
            </w:r>
          </w:p>
        </w:tc>
      </w:tr>
    </w:tbl>
    <w:p/>
    <w:p>
      <w:pPr>
        <w:pStyle w:val="Heading2"/>
      </w:pPr>
      <w:r>
        <w:t>9. Propuesta financiera preliminar</w:t>
      </w:r>
    </w:p>
    <w:p>
      <w:r>
        <w:t>Se recomienda un producto a cuotas mensuales, sin comisión de administración, sin seguro obligatorio y con prepago sin penalidad. El costo anual referencial coincide aproximadamente con la TEA mientras no existan cargos adicionales; la metodología y denominación TCEA deben ser validadas legal y contablemente antes del lanzamiento.</w:t>
      </w:r>
    </w:p>
    <w:tbl>
      <w:tblPr>
        <w:tblW w:type="dxa" w:w="9028"/>
        <w:tblLayout w:type="fixed"/>
        <w:tblLook w:firstColumn="1" w:firstRow="1" w:lastColumn="0" w:lastRow="0" w:noHBand="0" w:noVBand="1" w:val="04A0"/>
        <w:tblInd w:w="120" w:type="dxa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00"/>
        <w:gridCol w:w="2600"/>
        <w:gridCol w:w="1600"/>
        <w:gridCol w:w="2928"/>
      </w:tblGrid>
      <w:tr>
        <w:trPr>
          <w:tblHeader w:val="true"/>
        </w:trP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b/>
              </w:rPr>
              <w:t>Nivel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/>
              </w:rPr>
              <w:t>Monto y plazo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/>
              </w:rPr>
              <w:t>TEA propuesta</w:t>
            </w:r>
          </w:p>
        </w:tc>
        <w:tc>
          <w:tcPr>
            <w:tcW w:type="dxa" w:w="2928"/>
            <w:vAlign w:val="center"/>
          </w:tcPr>
          <w:p>
            <w:pPr>
              <w:spacing w:after="0"/>
            </w:pPr>
            <w:r>
              <w:rPr>
                <w:b/>
              </w:rPr>
              <w:t>Condición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t>Ingreso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t>S/ 300 a S/ 800; 4 meses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t>45%</w:t>
            </w:r>
          </w:p>
        </w:tc>
        <w:tc>
          <w:tcPr>
            <w:tcW w:type="dxa" w:w="2928"/>
            <w:vAlign w:val="center"/>
          </w:tcPr>
          <w:p>
            <w:pPr>
              <w:spacing w:after="0"/>
              <w:jc w:val="left"/>
            </w:pPr>
            <w:r>
              <w:t>Cliente nuevo; evaluación completa; máximo un préstamo activo.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t>Recurrente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t>S/ 500 a S/ 1,500; 4 o 6 meses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t>38%</w:t>
            </w:r>
          </w:p>
        </w:tc>
        <w:tc>
          <w:tcPr>
            <w:tcW w:type="dxa" w:w="2928"/>
            <w:vAlign w:val="center"/>
          </w:tcPr>
          <w:p>
            <w:pPr>
              <w:spacing w:after="0"/>
              <w:jc w:val="left"/>
            </w:pPr>
            <w:r>
              <w:t>Dos créditos puntuales, capacidad de pago actualizada y sin mora vigente.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t>Preferente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t>S/ 1,000 a S/ 2,500; 6 o 9 meses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t>32%</w:t>
            </w:r>
          </w:p>
        </w:tc>
        <w:tc>
          <w:tcPr>
            <w:tcW w:type="dxa" w:w="2928"/>
            <w:vAlign w:val="center"/>
          </w:tcPr>
          <w:p>
            <w:pPr>
              <w:spacing w:after="0"/>
              <w:jc w:val="left"/>
            </w:pPr>
            <w:r>
              <w:t>Cuatro créditos puntuales; habilitar después del piloto. Tope inicial del MVP: S/ 1,500.</w:t>
            </w:r>
          </w:p>
        </w:tc>
      </w:tr>
    </w:tbl>
    <w:p/>
    <w:p>
      <w:pPr>
        <w:numPr>
          <w:ilvl w:val="0"/>
          <w:numId w:val="31"/>
        </w:numPr>
      </w:pPr>
      <w:r>
        <w:t>Mora: 3 días calendario de gracia sin cargo; después, interés moratorio referencial de 12% TEA sobre capital vencido, sin capitalización ni tarifa fija.</w:t>
      </w:r>
    </w:p>
    <w:p>
      <w:pPr>
        <w:numPr>
          <w:ilvl w:val="0"/>
          <w:numId w:val="31"/>
        </w:numPr>
      </w:pPr>
      <w:r>
        <w:t>Regularización: contacto temprano, una reprogramación evaluada por dificultad verificable y prohibición de otorgar nuevo capital para pagar una deuda vigente.</w:t>
      </w:r>
    </w:p>
    <w:p>
      <w:pPr>
        <w:numPr>
          <w:ilvl w:val="0"/>
          <w:numId w:val="31"/>
        </w:numPr>
      </w:pPr>
      <w:r>
        <w:t>Exposición: durante el piloto, saldo total por cliente no mayor a S/ 1,500 y cartera total limitada al presupuesto formalmente aprobado.</w:t>
      </w:r>
    </w:p>
    <w:p>
      <w:pPr>
        <w:numPr>
          <w:ilvl w:val="0"/>
          <w:numId w:val="31"/>
        </w:numPr>
      </w:pPr>
      <w:r>
        <w:t>Mejora: el aumento de monto o reducción de tasa nunca será automático; requiere puntualidad y capacidad de pago vigente.</w:t>
      </w:r>
    </w:p>
    <w:p>
      <w:pPr>
        <w:pStyle w:val="Heading2"/>
      </w:pPr>
      <w:r>
        <w:t>10. Tres escenarios comerciales</w:t>
      </w:r>
    </w:p>
    <w:tbl>
      <w:tblPr>
        <w:tblW w:type="dxa" w:w="9028"/>
        <w:tblLayout w:type="fixed"/>
        <w:tblLook w:firstColumn="1" w:firstRow="1" w:lastColumn="0" w:lastRow="0" w:noHBand="0" w:noVBand="1" w:val="04A0"/>
        <w:tblInd w:w="120" w:type="dxa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2600"/>
        <w:gridCol w:w="2200"/>
        <w:gridCol w:w="2528"/>
      </w:tblGrid>
      <w:tr>
        <w:trPr>
          <w:tblHeader w:val="true"/>
        </w:trP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b/>
              </w:rPr>
              <w:t>Escenario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/>
              </w:rPr>
              <w:t>Precio y alcance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/>
              </w:rPr>
              <w:t>Ventaja</w:t>
            </w:r>
          </w:p>
        </w:tc>
        <w:tc>
          <w:tcPr>
            <w:tcW w:type="dxa" w:w="2528"/>
            <w:vAlign w:val="center"/>
          </w:tcPr>
          <w:p>
            <w:pPr>
              <w:spacing w:after="0"/>
            </w:pPr>
            <w:r>
              <w:rPr>
                <w:b/>
              </w:rPr>
              <w:t>Condición de uso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t>Conservador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t>55% TEA; S/ 300-700; 4 meses.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t>Mayor margen para absorber incertidumbre.</w:t>
            </w:r>
          </w:p>
        </w:tc>
        <w:tc>
          <w:tcPr>
            <w:tcW w:type="dxa" w:w="2528"/>
            <w:vAlign w:val="center"/>
          </w:tcPr>
          <w:p>
            <w:pPr>
              <w:spacing w:after="0"/>
              <w:jc w:val="left"/>
            </w:pPr>
            <w:r>
              <w:t>Usar si pérdida neta supera 4% o el costo operativo excede S/ 18.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t>Competitivo recomendado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t>45% nuevo; 38% recurrente; 32% preferente.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t>Costo inferior a promedios SBS y sin cargos ocultos.</w:t>
            </w:r>
          </w:p>
        </w:tc>
        <w:tc>
          <w:tcPr>
            <w:tcW w:type="dxa" w:w="2528"/>
            <w:vAlign w:val="center"/>
          </w:tcPr>
          <w:p>
            <w:pPr>
              <w:spacing w:after="0"/>
              <w:jc w:val="left"/>
            </w:pPr>
            <w:r>
              <w:t>Mantener si pago puntual &gt;= 90%, pérdida neta &lt;= 3.5% y costo operativo &lt;= S/ 15.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t>Expansivo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t>38% nuevo; 32% recurrente; 27% preferente; mayores montos.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t>Captación agresiva y premio visible.</w:t>
            </w:r>
          </w:p>
        </w:tc>
        <w:tc>
          <w:tcPr>
            <w:tcW w:type="dxa" w:w="2528"/>
            <w:vAlign w:val="center"/>
          </w:tcPr>
          <w:p>
            <w:pPr>
              <w:spacing w:after="0"/>
              <w:jc w:val="left"/>
            </w:pPr>
            <w:r>
              <w:t>Solo después de dos cohortes con pago puntual &gt;= 93% y pérdida neta &lt;= 2.5%.</w:t>
            </w:r>
          </w:p>
        </w:tc>
      </w:tr>
    </w:tbl>
    <w:p/>
    <w:p>
      <w:pPr>
        <w:pStyle w:val="Heading2"/>
      </w:pPr>
      <w:r>
        <w:t>11. Simulaciones transparentes del escenario recomendado</w:t>
      </w:r>
    </w:p>
    <w:tbl>
      <w:tblPr>
        <w:tblW w:type="dxa" w:w="9028"/>
        <w:tblLayout w:type="fixed"/>
        <w:tblLook w:firstColumn="1" w:firstRow="1" w:lastColumn="0" w:lastRow="0" w:noHBand="0" w:noVBand="1" w:val="04A0"/>
        <w:tblInd w:w="120" w:type="dxa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00"/>
        <w:gridCol w:w="900"/>
        <w:gridCol w:w="900"/>
        <w:gridCol w:w="800"/>
        <w:gridCol w:w="1300"/>
        <w:gridCol w:w="1300"/>
        <w:gridCol w:w="1300"/>
        <w:gridCol w:w="1428"/>
      </w:tblGrid>
      <w:tr>
        <w:trPr>
          <w:tblHeader w:val="true"/>
        </w:trPr>
        <w:tc>
          <w:tcPr>
            <w:tcW w:type="dxa" w:w="1100"/>
            <w:vAlign w:val="center"/>
          </w:tcPr>
          <w:p>
            <w:pPr>
              <w:spacing w:after="0"/>
            </w:pPr>
            <w:r>
              <w:rPr>
                <w:b/>
              </w:rPr>
              <w:t>Monto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b/>
              </w:rPr>
              <w:t>TEA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b/>
              </w:rPr>
              <w:t>TEM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b/>
              </w:rPr>
              <w:t>Meses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b/>
              </w:rPr>
              <w:t>Cuota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b/>
              </w:rPr>
              <w:t>Interés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</w:pPr>
            <w:r>
              <w:rPr>
                <w:b/>
              </w:rPr>
              <w:t>Costo/S100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  <w:jc w:val="center"/>
            </w:pPr>
            <w:r>
              <w:t>S/ 300.00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t>45.00%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t>3.1448%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t>4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t>S/ 80.99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t>S/ 323.95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t>S/ 23.95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>
              <w:t>S/ 7.98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  <w:jc w:val="center"/>
            </w:pPr>
            <w:r>
              <w:t>S/ 500.00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t>45.00%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t>3.1448%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t>4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t>S/ 134.98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t>S/ 539.92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t>S/ 39.92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>
              <w:t>S/ 7.98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  <w:jc w:val="center"/>
            </w:pPr>
            <w:r>
              <w:t>S/ 800.00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t>45.00%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t>3.1448%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t>4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t>S/ 215.97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t>S/ 863.87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t>S/ 63.87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>
              <w:t>S/ 7.98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  <w:jc w:val="center"/>
            </w:pPr>
            <w:r>
              <w:t>S/ 1,000.00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t>38.00%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t>2.7204%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t>6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t>S/ 182.89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t>S/ 1,097.34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t>S/ 97.34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>
              <w:t>S/ 9.73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  <w:jc w:val="center"/>
            </w:pPr>
            <w:r>
              <w:t>S/ 1,500.00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t>38.00%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t>2.7204%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t>6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t>S/ 274.34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t>S/ 1,646.01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t>S/ 146.01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>
              <w:t>S/ 9.73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  <w:jc w:val="center"/>
            </w:pPr>
            <w:r>
              <w:t>S/ 2,000.00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t>32.00%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t>2.3406%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t>9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t>S/ 249.03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t>S/ 2,241.27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center"/>
            </w:pPr>
            <w:r>
              <w:t>S/ 241.27</w:t>
            </w:r>
          </w:p>
        </w:tc>
        <w:tc>
          <w:tcPr>
            <w:tcW w:type="dxa" w:w="1428"/>
            <w:vAlign w:val="center"/>
          </w:tcPr>
          <w:p>
            <w:pPr>
              <w:spacing w:after="0"/>
              <w:jc w:val="center"/>
            </w:pPr>
            <w:r>
              <w:t>S/ 12.06</w:t>
            </w:r>
          </w:p>
        </w:tc>
      </w:tr>
    </w:tbl>
    <w:p/>
    <w:p>
      <w:r>
        <w:t>Cálculo: cuotas mensuales vencidas y constantes, sin comisión, seguro ni gasto adicional. Los importes se redondean a dos decimales; el cronograma final debe ajustar la última cuota por redondeo. El ejemplo de S/ 2,000 corresponde a una fase posterior, pues el piloto mantendrá el tope de S/ 1,500.</w:t>
      </w:r>
    </w:p>
    <w:p>
      <w:pPr>
        <w:pStyle w:val="Heading2"/>
      </w:pPr>
      <w:r>
        <w:t>12. Viabilidad y punto de equilibrio</w:t>
      </w:r>
    </w:p>
    <w:p>
      <w:r>
        <w:t>La tasa competitiva solo es viable con procesos de bajo costo y buen control de riesgo. Para cada préstamo debe calcularse: ingreso financiero cobrado menos costo de capital, costo de originación y servicio, pérdida crediticia esperada, impuestos y costo de cobranza. No debe aprobarse una cohorte cuyo margen esperado sea negativo.</w:t>
      </w:r>
    </w:p>
    <w:tbl>
      <w:tblPr>
        <w:tblW w:type="dxa" w:w="9028"/>
        <w:tblLayout w:type="fixed"/>
        <w:tblLook w:firstColumn="1" w:firstRow="1" w:lastColumn="0" w:lastRow="0" w:noHBand="0" w:noVBand="1" w:val="04A0"/>
        <w:tblInd w:w="120" w:type="dxa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00"/>
        <w:gridCol w:w="2500"/>
        <w:gridCol w:w="3228"/>
      </w:tblGrid>
      <w:tr>
        <w:trPr>
          <w:tblHeader w:val="true"/>
        </w:trPr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b/>
              </w:rPr>
              <w:t>Variable de piloto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b/>
              </w:rPr>
              <w:t>Supuesto de referencia</w:t>
            </w:r>
          </w:p>
        </w:tc>
        <w:tc>
          <w:tcPr>
            <w:tcW w:type="dxa" w:w="3228"/>
            <w:vAlign w:val="center"/>
          </w:tcPr>
          <w:p>
            <w:pPr>
              <w:spacing w:after="0"/>
            </w:pPr>
            <w:r>
              <w:rPr>
                <w:b/>
              </w:rPr>
              <w:t>Umbral de decisión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t>Costo operativo por préstamo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t>S/ 10 a S/ 15</w:t>
            </w:r>
          </w:p>
        </w:tc>
        <w:tc>
          <w:tcPr>
            <w:tcW w:type="dxa" w:w="3228"/>
            <w:vAlign w:val="center"/>
          </w:tcPr>
          <w:p>
            <w:pPr>
              <w:spacing w:after="0"/>
              <w:jc w:val="left"/>
            </w:pPr>
            <w:r>
              <w:t>Rediseñar si supera S/ 15 de forma sostenida.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t>Pérdida neta de principal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t>2.5% a 3.5%</w:t>
            </w:r>
          </w:p>
        </w:tc>
        <w:tc>
          <w:tcPr>
            <w:tcW w:type="dxa" w:w="3228"/>
            <w:vAlign w:val="center"/>
          </w:tcPr>
          <w:p>
            <w:pPr>
              <w:spacing w:after="0"/>
              <w:jc w:val="left"/>
            </w:pPr>
            <w:r>
              <w:t>Pasar a escenario conservador si supera 3.5%.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t>Pago puntual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t>&gt;= 90%</w:t>
            </w:r>
          </w:p>
        </w:tc>
        <w:tc>
          <w:tcPr>
            <w:tcW w:type="dxa" w:w="3228"/>
            <w:vAlign w:val="center"/>
          </w:tcPr>
          <w:p>
            <w:pPr>
              <w:spacing w:after="0"/>
              <w:jc w:val="left"/>
            </w:pPr>
            <w:r>
              <w:t>No ampliar montos si está por debajo de 90%.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t>Costo de adquisición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t>Máximo S/ 15</w:t>
            </w:r>
          </w:p>
        </w:tc>
        <w:tc>
          <w:tcPr>
            <w:tcW w:type="dxa" w:w="3228"/>
            <w:vAlign w:val="center"/>
          </w:tcPr>
          <w:p>
            <w:pPr>
              <w:spacing w:after="0"/>
              <w:jc w:val="left"/>
            </w:pPr>
            <w:r>
              <w:t>Detener canal si no se recupera en el primer ciclo.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t>Capital propio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t>Costo de oportunidad por definir</w:t>
            </w:r>
          </w:p>
        </w:tc>
        <w:tc>
          <w:tcPr>
            <w:tcW w:type="dxa" w:w="3228"/>
            <w:vAlign w:val="center"/>
          </w:tcPr>
          <w:p>
            <w:pPr>
              <w:spacing w:after="0"/>
              <w:jc w:val="left"/>
            </w:pPr>
            <w:r>
              <w:t>Incluirlo aun cuando no exista financiamiento externo.</w:t>
            </w:r>
          </w:p>
        </w:tc>
      </w:tr>
    </w:tbl>
    <w:p/>
    <w:p>
      <w:pPr>
        <w:pStyle w:val="Heading2"/>
      </w:pPr>
      <w:r>
        <w:t>13. Oportunidades de diferenciación</w:t>
      </w:r>
    </w:p>
    <w:p>
      <w:pPr>
        <w:numPr>
          <w:ilvl w:val="0"/>
          <w:numId w:val="31"/>
        </w:numPr>
      </w:pPr>
      <w:r>
        <w:t>Costo completo visible antes de aceptar: total, cuota, fechas y costo por cada S/ 100.</w:t>
      </w:r>
    </w:p>
    <w:p>
      <w:pPr>
        <w:numPr>
          <w:ilvl w:val="0"/>
          <w:numId w:val="31"/>
        </w:numPr>
      </w:pPr>
      <w:r>
        <w:t>Cero comisión administrativa y cero cargos de desembolso en el producto base.</w:t>
      </w:r>
    </w:p>
    <w:p>
      <w:pPr>
        <w:numPr>
          <w:ilvl w:val="0"/>
          <w:numId w:val="31"/>
        </w:numPr>
      </w:pPr>
      <w:r>
        <w:t>Beneficio por puntualidad mediante menor tasa, no mediante presión para renovar.</w:t>
      </w:r>
    </w:p>
    <w:p>
      <w:pPr>
        <w:numPr>
          <w:ilvl w:val="0"/>
          <w:numId w:val="31"/>
        </w:numPr>
      </w:pPr>
      <w:r>
        <w:t>Atención regional y canales verificados que reduzcan temor a aplicaciones informales.</w:t>
      </w:r>
    </w:p>
    <w:p>
      <w:pPr>
        <w:numPr>
          <w:ilvl w:val="0"/>
          <w:numId w:val="31"/>
        </w:numPr>
      </w:pPr>
      <w:r>
        <w:t>Evaluación proporcional que admita evidencia alternativa de ingresos sin relajar controles de identidad.</w:t>
      </w:r>
    </w:p>
    <w:p>
      <w:pPr>
        <w:numPr>
          <w:ilvl w:val="0"/>
          <w:numId w:val="31"/>
        </w:numPr>
      </w:pPr>
      <w:r>
        <w:t>Cobranza temprana y respetuosa con solución de dificultad antes de escalar acciones.</w:t>
      </w:r>
    </w:p>
    <w:p>
      <w:pPr>
        <w:pStyle w:val="Heading2"/>
      </w:pPr>
      <w:r>
        <w:t>14. Riesgos y barreras</w:t>
      </w:r>
    </w:p>
    <w:tbl>
      <w:tblPr>
        <w:tblW w:type="dxa" w:w="9028"/>
        <w:tblLayout w:type="fixed"/>
        <w:tblLook w:firstColumn="1" w:firstRow="1" w:lastColumn="0" w:lastRow="0" w:noHBand="0" w:noVBand="1" w:val="04A0"/>
        <w:tblInd w:w="120" w:type="dxa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00"/>
        <w:gridCol w:w="3000"/>
        <w:gridCol w:w="3528"/>
      </w:tblGrid>
      <w:tr>
        <w:trPr>
          <w:tblHeader w:val="true"/>
        </w:trP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b/>
              </w:rPr>
              <w:t>Riesgo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/>
              </w:rPr>
              <w:t>Impacto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rPr>
                <w:b/>
              </w:rPr>
              <w:t>Respuesta preliminar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t>Fraude o suplantación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left"/>
            </w:pPr>
            <w:r>
              <w:t>Pérdida financiera y daño reputacional.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>
              <w:t>Identidad, titularidad de cuenta, trazabilidad y revisión manual de alertas.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t>Sobreendeudamiento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left"/>
            </w:pPr>
            <w:r>
              <w:t>Incumplimiento y afectación al usuario.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>
              <w:t>Capacidad de pago, un préstamo activo y límites progresivos.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t>Precio no sostenible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left"/>
            </w:pPr>
            <w:r>
              <w:t>Pérdida de capital.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>
              <w:t>Cohortes pequeñas, margen por préstamo y gatillos de ajuste.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t>Cobertura digital desigual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left"/>
            </w:pPr>
            <w:r>
              <w:t>Abandono o errores.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>
              <w:t>Interfaz liviana, guardado de avance y canal humano.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t>Confusión con informalidad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left"/>
            </w:pPr>
            <w:r>
              <w:t>Baja confianza.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>
              <w:t>Registro, contratos claros, dominio oficial y canales verificables.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t>Dependencia de terceros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left"/>
            </w:pPr>
            <w:r>
              <w:t>Interrupción o aumento de costos.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>
              <w:t>Contratos, alternativas y conciliación manual de contingencia.</w:t>
            </w:r>
          </w:p>
        </w:tc>
      </w:tr>
    </w:tbl>
    <w:p/>
    <w:p>
      <w:pPr>
        <w:pStyle w:val="Heading2"/>
      </w:pPr>
      <w:r>
        <w:t>15. Validaciones de campo pendientes</w:t>
      </w:r>
    </w:p>
    <w:p>
      <w:pPr>
        <w:numPr>
          <w:ilvl w:val="0"/>
          <w:numId w:val="32"/>
        </w:numPr>
      </w:pPr>
      <w:r>
        <w:t>Entrevistar al menos 20 usuarios de Tarapoto, Moyobamba y una zona con menor conectividad.</w:t>
      </w:r>
    </w:p>
    <w:p>
      <w:pPr>
        <w:numPr>
          <w:ilvl w:val="0"/>
          <w:numId w:val="32"/>
        </w:numPr>
      </w:pPr>
      <w:r>
        <w:t>Probar comprensión del costo total, cuota, mora y consentimiento con cinco prototipos de oferta.</w:t>
      </w:r>
    </w:p>
    <w:p>
      <w:pPr>
        <w:numPr>
          <w:ilvl w:val="0"/>
          <w:numId w:val="32"/>
        </w:numPr>
      </w:pPr>
      <w:r>
        <w:t>Cotizar KYC, buró, desembolso, pagos, mensajería, nube y soporte con volumen de piloto.</w:t>
      </w:r>
    </w:p>
    <w:p>
      <w:pPr>
        <w:numPr>
          <w:ilvl w:val="0"/>
          <w:numId w:val="32"/>
        </w:numPr>
      </w:pPr>
      <w:r>
        <w:t>Validar disposición de pago y frecuencia sin inducir respuestas mediante una prueba de elección.</w:t>
      </w:r>
    </w:p>
    <w:p>
      <w:pPr>
        <w:numPr>
          <w:ilvl w:val="0"/>
          <w:numId w:val="32"/>
        </w:numPr>
      </w:pPr>
      <w:r>
        <w:t>Ejecutar una cohorte controlada y revisar pago puntual, pérdida, costo y reclamos antes de ampliar límites.</w:t>
      </w:r>
    </w:p>
    <w:p>
      <w:pPr>
        <w:pStyle w:val="Heading2"/>
      </w:pPr>
      <w:r>
        <w:t>16. Conclusiones</w:t>
      </w:r>
    </w:p>
    <w:p>
      <w:r>
        <w:t>Existe una oportunidad razonable para una oferta regional formal, transparente y de montos progresivos. La principal ventaja no debe ser prometer aprobación inmediata, sino combinar un costo total moderado, ausencia de cargos ocultos, evaluación responsable y trato cercano. El escenario competitivo propuesto es inferior a los promedios publicados por la SBS, pero exige disciplina: si la pérdida neta o los costos superan los umbrales, deberá reducirse el riesgo o ajustarse el precio antes de crecer.</w:t>
      </w:r>
    </w:p>
    <w:p>
      <w:pPr>
        <w:pStyle w:val="Heading2"/>
      </w:pPr>
      <w:r>
        <w:t>17. Fuentes consultadas</w:t>
      </w:r>
    </w:p>
    <w:p>
      <w:pPr>
        <w:numPr>
          <w:ilvl w:val="0"/>
          <w:numId w:val="32"/>
        </w:numPr>
      </w:pPr>
      <w:r>
        <w:t>SBS. Oficina en San Martín e indicadores regionales, 9/07/2026. https://www.sbs.gob.pe/noticia/detallenoticia/idnoticia/3953</w:t>
      </w:r>
    </w:p>
    <w:p>
      <w:pPr>
        <w:numPr>
          <w:ilvl w:val="0"/>
          <w:numId w:val="32"/>
        </w:numPr>
      </w:pPr>
      <w:r>
        <w:t>SBS. Tasa promedio para créditos de consumo, 28/07/2026. https://www.sbs.gob.pe/app/pp/EstadisticasSAEEPortal/Paginas/TIPMicroConsumo.aspx</w:t>
      </w:r>
    </w:p>
    <w:p>
      <w:pPr>
        <w:numPr>
          <w:ilvl w:val="0"/>
          <w:numId w:val="32"/>
        </w:numPr>
      </w:pPr>
      <w:r>
        <w:t>SBS. Tasa promedio para microempresa, 29/07/2026. https://www.sbs.gob.pe/app/pp/EstadisticasSAEEPortal/Paginas/TIPMicroEmpresa.aspx?tip=B</w:t>
      </w:r>
    </w:p>
    <w:p>
      <w:pPr>
        <w:numPr>
          <w:ilvl w:val="0"/>
          <w:numId w:val="32"/>
        </w:numPr>
      </w:pPr>
      <w:r>
        <w:t>BCRP. Tasa máxima mayo-octubre 2026. https://www.bcrp.gob.pe/docs/Transparencia/Notas-Informativas/2026/nota-informativa-2026-04-07.pdf</w:t>
      </w:r>
    </w:p>
    <w:p>
      <w:pPr>
        <w:numPr>
          <w:ilvl w:val="0"/>
          <w:numId w:val="32"/>
        </w:numPr>
      </w:pPr>
      <w:r>
        <w:t>BCRPData. Crédito directo en San Martín. https://estadisticas.bcrp.gob.pe/estadisticas/series/trimestrales/resultados/RD14936DQ/html</w:t>
      </w:r>
    </w:p>
    <w:p>
      <w:pPr>
        <w:numPr>
          <w:ilvl w:val="0"/>
          <w:numId w:val="32"/>
        </w:numPr>
      </w:pPr>
      <w:r>
        <w:t>OSIPTEL. Checa tu señal, información 2026-I. https://checatusenal.osiptel.gob.pe/</w:t>
      </w:r>
    </w:p>
    <w:p>
      <w:pPr>
        <w:numPr>
          <w:ilvl w:val="0"/>
          <w:numId w:val="32"/>
        </w:numPr>
      </w:pPr>
      <w:r>
        <w:t>DoctorSol. Ficha oficial en Google Play. https://play.google.com/store/apps/details?id=com.doctorsol.app.doctorsol_mobile_app</w:t>
      </w:r>
    </w:p>
    <w:p>
      <w:pPr>
        <w:numPr>
          <w:ilvl w:val="0"/>
          <w:numId w:val="32"/>
        </w:numPr>
      </w:pPr>
      <w:r>
        <w:t>DoctorSol. Términos y condiciones. https://doctor-sol.pe/static/media/T%C3%A9rminos%20y%20Condiciones.aa0fee7b5cd7fed8864e.pdf</w:t>
      </w:r>
    </w:p>
    <w:p>
      <w:pPr>
        <w:numPr>
          <w:ilvl w:val="0"/>
          <w:numId w:val="32"/>
        </w:numPr>
      </w:pPr>
      <w:r>
        <w:t>Solventa Perú. Términos y condiciones. https://solventa.pe/tyc/</w:t>
      </w:r>
    </w:p>
    <w:p>
      <w:pPr>
        <w:numPr>
          <w:ilvl w:val="0"/>
          <w:numId w:val="32"/>
        </w:numPr>
      </w:pPr>
      <w:r>
        <w:t>Prestamype. Préstamo de capital de trabajo. https://www.prestamype.com/prestamos/prestamo-capital-de-trabajo</w:t>
      </w:r>
    </w:p>
    <w:p>
      <w:pPr>
        <w:numPr>
          <w:ilvl w:val="0"/>
          <w:numId w:val="32"/>
        </w:numPr>
      </w:pPr>
      <w:r>
        <w:t>SolPrestado. Oferta pública observada. https://www.solprestado.com/</w:t>
      </w:r>
    </w:p>
    <w:p>
      <w:pPr>
        <w:numPr>
          <w:ilvl w:val="0"/>
          <w:numId w:val="32"/>
        </w:numPr>
      </w:pPr>
      <w:r>
        <w:t>Kueski. Préstamos y CAT promedio. https://www.kueski.com/prestamos-en-linea</w:t>
      </w:r>
    </w:p>
    <w:p>
      <w:pPr>
        <w:numPr>
          <w:ilvl w:val="0"/>
          <w:numId w:val="32"/>
        </w:numPr>
      </w:pPr>
      <w:r>
        <w:t>Tala. Contrato y ficha técnica de crédito. https://assets.tala.co/mx/220/1225%20Contrato%20de%20credito%20Prestamo%20a%20plazo.pdf</w:t>
      </w:r>
    </w:p>
    <w:p>
      <w:pPr>
        <w:numPr>
          <w:ilvl w:val="0"/>
          <w:numId w:val="32"/>
        </w:numPr>
      </w:pPr>
      <w:r>
        <w:t>Branch. Funcionamiento y condiciones. https://branch.co/ng/how-it-works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abstractNum w:abstractNumId="3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1">
    <w:abstractNumId w:val="31"/>
  </w:num>
  <w:abstractNum w:abstractNumId="3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INVESTIGACIÓN DE MERCADO</dc:title>
  <cp:lastModifiedBy>python-docx</cp:lastModifiedBy>
  <cp:revision>1</cp:revision>
  <dcterms:modified xsi:type="dcterms:W3CDTF">2026-08-15T19:18:31Z</dcterms:modified>
  <dc:subject>Fase 2 - Investigación del negocio</dc:subject>
  <dc:creator>San Martin Finanzas</dc:creator>
  <dc:description>Documento preliminar sujeto a revisión y aprobación.</dc:description>
</cp:coreProperties>
</file>