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keepNext/>
      </w:pPr>
      <w:r>
        <w:t>DOCUMENTO DE REQUISITOS NO FUNCIONALES</w:t>
      </w:r>
    </w:p>
    <w:p>
      <w:pPr>
        <w:pStyle w:val="Ttulo2"/>
        <w:keepNext/>
      </w:pPr>
      <w:r>
        <w:t>Plataforma Digital de Micropréstamos para la Región San Martín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Nombre provisional del proyecto: San Martin Finanzas</w:t>
        <w:br/>
        <w:t>Nombre comercial de la plataforma: San Martin Finanzas</w:t>
        <w:br/>
        <w:t>Versión del documento: 1.0</w:t>
        <w:br/>
        <w:t>Fecha de elaboración: 15/08/2026</w:t>
        <w:br/>
        <w:t>Promotor e inversionista: Ing. Ronal Ríos Romero</w:t>
        <w:br/>
        <w:t>Consultoría de software: Carlos Humberto Gonzales y Leonardo Jesús Gonzales</w:t>
      </w:r>
    </w:p>
    <w:p>
      <w:pPr>
        <w:pStyle w:val="Ttulo2"/>
        <w:keepNext/>
      </w:pPr>
      <w:r>
        <w:t>1. Propósito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Este documento define cualidades medibles para el MVP. Los umbrales de capacidad, disponibilidad y recuperación son una línea base moderada para el piloto y deberán confirmarse contra presupuesto, arquitectura y proveedores.</w:t>
      </w:r>
    </w:p>
    <w:p>
      <w:pPr>
        <w:pStyle w:val="Ttulo2"/>
        <w:keepNext/>
      </w:pPr>
      <w:r>
        <w:t>2. Marcos de referencia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ISO/IEC/IEEE 29148:2018 para calidad y verificabilidad de requisitos.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ISO/IEC 25010:2023 para el modelo de calidad del producto.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OWASP ASVS 5.0.0 como referencia de verificación de seguridad.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NIST SP 800-63-4 para identidad y autenticación basada en riesgo.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WCAG 2.2 como objetivo de accesibilidad de los flujos principales.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Normativa peruana documentada en D5 para privacidad, consumidor, contratación y cumplimiento.</w:t>
      </w:r>
    </w:p>
    <w:p>
      <w:pPr>
        <w:pStyle w:val="Ttulo2"/>
        <w:keepNext/>
      </w:pPr>
      <w:r>
        <w:t>3. Catálogo de requisitos no funcionales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50"/>
        <w:gridCol w:w="3300"/>
        <w:gridCol w:w="2400"/>
        <w:gridCol w:w="1550"/>
        <w:gridCol w:w="928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ID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Categoría / requisito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Métrica preliminar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Verificación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Alcance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RNF-001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Seguridad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Los controles de la aplicación deberán verificarse contra OWASP ASVS 5.0 nivel 2 para el alcance implementado.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100% de controles aplicables con evidencia; excepciones aprobadas.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Revisión y pruebas de seguridad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MVP/Validar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RNF-002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Autenticación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Las cuentas internas privilegiadas deberán usar MFA; clientes deberán disponer de MFA o verificación reforzada para acciones críticas.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MFA en 100% de privilegiados y retos en cambios sensibles.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funcional y de configuración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RNF-003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Contraseñas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Si una contraseña actúa como único factor, deberá admitir al menos 15 caracteres, bloquear valores comprometidos y permitir gestores y pegado.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Reglas alineadas con NIST SP 800-63B-4; sin rotación arbitraria.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Pruebas de política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MVP/Validar UX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RNF-004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Sesión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 sesión deberá expirar por inactividad y revocarse tras recuperación, cambio de credencial o bloqueo.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15 min back office; 30 min cliente; valores configurables.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Pruebas de sesión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MVP/Hipótesis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RNF-005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Acceso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Todo acceso deberá aplicar mínimo privilegio y segregación entre evaluación, aprobación, desembolso, reverso y administración.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Ningún rol puede ejecutar conflictos definidos sin segundo control.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Matriz y prueba negativa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RNF-006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Cifrado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Datos en tránsito deberán usar TLS vigente y datos sensibles en reposo deberán cifrarse con claves administradas separadamente.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100% tráfico externo cifrado; cifrado verificado en soportes definidos.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Escaneo y revisión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RNF-007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Secretos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Credenciales y llaves no deberán almacenarse en código, documentos ni registros.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Cero secretos detectados; rotación y acceso registrados.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Escaneo y revisión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RNF-008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Privacidad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 solución deberá aplicar minimización, finalidad, acceso restringido y eliminación o anonimización conforme a retención aprobada.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Inventario de datos y regla de retención para 100% de categorías.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Revisión legal/técnica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 real/Alta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RNF-009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Incidentes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Los incidentes de datos deberán detectarse, documentarse y escalarse con información suficiente para evaluar notificación en 48 horas.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Registro y evaluación inicial en máximo 4 horas desde confirmación.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Simulacro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 real/Hipótesis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RNF-010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Auditoría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Eventos críticos deberán registrarse con actor, fecha, acción, entidad, valores relevantes y resultado.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Cobertura de 100% de eventos críticos definidos.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Muestreo de bitácora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RNF-011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Integridad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Usuarios operativos no deberán editar o borrar registros de auditoría; toda corrección será un evento compensatorio.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Cero operaciones directas de alteración autorizadas.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de permisos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RNF-012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Retención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Registros lógicos vinculados con datos personales deberán conservarse por al menos dos años o el plazo mayor validado.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Consulta completa del periodo exigible.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Revisión y restauración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 real/Legal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RNF-013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Rendimiento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Las pantallas de consulta comunes deberán responder con fluidez bajo la carga del piloto.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p95 &lt;= 3 s en lectura y &lt;= 5 s en escritura, sin contar terceros.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de carga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MVP/Hipótesis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RNF-014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Cálculos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Simulación, cronograma, pago y mora deberán ser deterministas para los mismos datos y versión de reglas.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100% de casos patrón coincide al céntimo.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Pruebas independientes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RNF-015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Idempotencia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Operaciones financieras repetidas por reintento no deberán duplicar desembolsos, pagos ni contratos.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Cero duplicados en pruebas de reintento y concurrencia.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de integración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RNF-016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Disponibilidad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El MVP deberá mantener disponibilidad suficiente para el piloto, excluyendo mantenimiento comunicado.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&gt;= 99.5% mensual durante piloto.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Monitoreo mensual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Piloto/Hipótesis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RNF-017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Capacidad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 línea base deberá soportar la operación controlada sin degradación material.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100 usuarios concurrentes, 10,000 clientes y 50,000 movimientos.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de carga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Preproducción/Hipótesis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RNF-018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Respaldo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Deberán existir respaldos automáticos cifrados y separados del entorno principal.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Incremental &lt;= 1 h y completo diario; prueba mensual.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Evidencia de respaldo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Piloto/Hipótesis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RNF-019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Recuperación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 operación crítica deberá recuperarse con pérdida y tiempo acotados.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RPO &lt;= 1 h y RTO &lt;= 4 h para datos financieros.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Simulacro de restauración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Piloto/Hipótesis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RNF-020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Continuidad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 falla de mensajería o un proveedor no deberá impedir consultar obligaciones ni registrar contingencias autorizadas.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Procedimiento alterno probado para proveedores críticos.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de contingencia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RNF-021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Compatibilidad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 interfaz web deberá funcionar en las dos últimas versiones estables de Chrome, Edge, Firefox y Safari.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Flujos críticos aprobados en matriz de navegadores.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cruzada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MVP/Hipótesis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RNF-022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Dispositivos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 experiencia deberá adaptarse a teléfonos de gama media y pantallas desde 360 px de ancho.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Sin desplazamiento horizontal ni pérdida funcional.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responsiva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RNF-023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Conectividad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Los formularios extensos deberán tolerar conexión intermitente y evitar pérdida silenciosa de avance.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Recuperación de borrador en interrupciones controladas.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de red limitada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MVP/Media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RNF-024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Usabilidad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Costo, consentimiento, decisión y mora deberán expresarse en lenguaje claro y sin opciones preseleccionadas engañosas.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con usuarios: &gt;= 80% comprende monto neto y total.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de comprensión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Piloto/Hipótesis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RNF-025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Accesibilidad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Los flujos principales deberán aspirar a WCAG 2.2 nivel AA.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Cero fallas críticas automáticas y revisión manual de teclado/contraste.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Auditoría de accesibilidad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MVP/Validar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RNF-026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Observabilidad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 solución deberá registrar métricas, errores y alertas sin incluir contraseñas, tokens ni datos sensibles innecesarios.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Alertas en &lt;= 5 min para fallas críticas definidas.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y revisión de logs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Piloto/Hipótesis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RNF-027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Mantenibilidad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Reglas financieras y plantillas deberán versionarse y cambiarse sin modificar contratos históricos.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100% de préstamos conserva versión original.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 de regresión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RNF-028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Despliegue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Cada versión deberá ser identificable y permitir retorno a la versión anterior con migraciones controladas.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Rollback probado en ambiente de prueba.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Simulacro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Preproducción/Alta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RNF-029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Calidad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Cambios deberán pasar revisión, pruebas automatizadas y validación funcional antes de liberarse.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Evidencia asociada a 100% de versiones piloto.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Auditoría de entrega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  <w:t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RNF-030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Segregación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Datos de desarrollo y prueba no deberán utilizar información personal real salvo autorización y protección equivalentes.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Datos sintéticos o anonimizados en 100% de pruebas ordinarias.</w:t>
            </w:r>
          </w:p>
        </w:tc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Inspección de ambientes</w:t>
            </w:r>
          </w:p>
        </w:tc>
        <w:tc>
          <w:tcPr>
            <w:tcW w:type="dxa" w:w="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MVP/Alta</w:t>
            </w:r>
          </w:p>
        </w:tc>
      </w:tr>
    </w:tbl>
    <w:p/>
    <w:p>
      <w:pPr>
        <w:pStyle w:val="Ttulo2"/>
        <w:keepNext/>
      </w:pPr>
      <w:r>
        <w:t>4. Datos y retención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00"/>
        <w:gridCol w:w="4000"/>
        <w:gridCol w:w="3128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Clase</w:t>
            </w:r>
          </w:p>
        </w:tc>
        <w:tc>
          <w:tcPr>
            <w:tcW w:type="dxa" w:w="4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Objetivo</w:t>
            </w:r>
          </w:p>
        </w:tc>
        <w:tc>
          <w:tcPr>
            <w:tcW w:type="dxa" w:w="3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Decisión pendiente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Identidad y expediente</w:t>
            </w:r>
          </w:p>
        </w:tc>
        <w:tc>
          <w:tcPr>
            <w:tcW w:type="dxa" w:w="4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Conservar solo por finalidad y obligación aplicable.</w:t>
            </w:r>
          </w:p>
        </w:tc>
        <w:tc>
          <w:tcPr>
            <w:tcW w:type="dxa" w:w="3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Plazo exacto por abogado/cumplimiento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Contrato y operaciones</w:t>
            </w:r>
          </w:p>
        </w:tc>
        <w:tc>
          <w:tcPr>
            <w:tcW w:type="dxa" w:w="4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Conservar evidencia íntegra durante exigibilidad y defensa.</w:t>
            </w:r>
          </w:p>
        </w:tc>
        <w:tc>
          <w:tcPr>
            <w:tcW w:type="dxa" w:w="3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Plazo legal/tributario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Auditoría</w:t>
            </w:r>
          </w:p>
        </w:tc>
        <w:tc>
          <w:tcPr>
            <w:tcW w:type="dxa" w:w="4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Mínimo referencial de dos años para registros lógicos.</w:t>
            </w:r>
          </w:p>
        </w:tc>
        <w:tc>
          <w:tcPr>
            <w:tcW w:type="dxa" w:w="3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Confirmar plazo mayor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Marketing</w:t>
            </w:r>
          </w:p>
        </w:tc>
        <w:tc>
          <w:tcPr>
            <w:tcW w:type="dxa" w:w="4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Conservar evidencia de consentimiento y baja.</w:t>
            </w:r>
          </w:p>
        </w:tc>
        <w:tc>
          <w:tcPr>
            <w:tcW w:type="dxa" w:w="3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Plazo de defensa</w:t>
            </w:r>
          </w:p>
        </w:tc>
      </w:tr>
      <w:t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Pruebas</w:t>
            </w:r>
          </w:p>
        </w:tc>
        <w:tc>
          <w:tcPr>
            <w:tcW w:type="dxa" w:w="4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Usar datos sintéticos o anonimizados.</w:t>
            </w:r>
          </w:p>
        </w:tc>
        <w:tc>
          <w:tcPr>
            <w:tcW w:type="dxa" w:w="3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Proceso de anonimización</w:t>
            </w:r>
          </w:p>
        </w:tc>
      </w:tr>
    </w:tbl>
    <w:p/>
    <w:p>
      <w:pPr>
        <w:pStyle w:val="Ttulo2"/>
        <w:keepNext/>
      </w:pPr>
      <w:r>
        <w:t>5. Criterios de severidad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00"/>
        <w:gridCol w:w="4300"/>
        <w:gridCol w:w="3428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Nivel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Definición</w:t>
            </w:r>
          </w:p>
        </w:tc>
        <w:tc>
          <w:tcPr>
            <w:tcW w:type="dxa" w:w="3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Tratamiento</w:t>
            </w:r>
          </w:p>
        </w:tc>
      </w:tr>
      <w:tr>
        <w:tc>
          <w:tcPr>
            <w:tcW w:type="dxa" w:w="1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Crítico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Pérdida de dinero, exposición de datos, acceso indebido o incumplimiento que impide operar.</w:t>
            </w:r>
          </w:p>
        </w:tc>
        <w:tc>
          <w:tcPr>
            <w:tcW w:type="dxa" w:w="3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Bloquear liberación o pausar originación.</w:t>
            </w:r>
          </w:p>
        </w:tc>
      </w:tr>
      <w:tr>
        <w:tc>
          <w:tcPr>
            <w:tcW w:type="dxa" w:w="1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Alto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Falla del flujo principal sin alternativa segura.</w:t>
            </w:r>
          </w:p>
        </w:tc>
        <w:tc>
          <w:tcPr>
            <w:tcW w:type="dxa" w:w="3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Corregir antes de piloto.</w:t>
            </w:r>
          </w:p>
        </w:tc>
      </w:tr>
      <w:tr>
        <w:tc>
          <w:tcPr>
            <w:tcW w:type="dxa" w:w="1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Medio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Degradación con alternativa controlada.</w:t>
            </w:r>
          </w:p>
        </w:tc>
        <w:tc>
          <w:tcPr>
            <w:tcW w:type="dxa" w:w="3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Plan y fecha aprobados.</w:t>
            </w:r>
          </w:p>
        </w:tc>
      </w:tr>
      <w:tr>
        <w:tc>
          <w:tcPr>
            <w:tcW w:type="dxa" w:w="1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Bajo</w:t>
            </w:r>
          </w:p>
        </w:tc>
        <w:tc>
          <w:tcPr>
            <w:tcW w:type="dxa" w:w="4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Defecto menor sin impacto material.</w:t>
            </w:r>
          </w:p>
        </w:tc>
        <w:tc>
          <w:tcPr>
            <w:tcW w:type="dxa" w:w="34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Gestionar por priorización posterior.</w:t>
            </w:r>
          </w:p>
        </w:tc>
      </w:tr>
    </w:tbl>
    <w:p/>
    <w:p>
      <w:pPr>
        <w:pStyle w:val="Ttulo2"/>
        <w:keepNext/>
      </w:pPr>
      <w:r>
        <w:t>6. Validaciones profesionales pendientes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Responsable técnico: capacidad, rendimiento, RPO, RTO y compatibilidad.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Especialista de seguridad: alcance ASVS, amenazas, pruebas y monitoreo.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Abogado/privacidad: retención, derechos, incidentes y evidencia contractual.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Inversionista: presupuesto asociado a disponibilidad, respaldo y proveedores.</w:t>
      </w:r>
    </w:p>
    <w:p>
      <w:pPr>
        <w:numPr>
          <w:ilvl w:val="0"/>
          <w:numId w:val="1"/>
        </w:numPr>
        <w:spacing w:line="276" w:lineRule="auto"/>
      </w:pPr>
      <w:r>
        <w:rPr>
          <w:rFonts w:ascii="Arial" w:hAnsi="Arial" w:eastAsia="Arial"/>
          <w:b w:val="0"/>
          <w:sz w:val="22"/>
        </w:rPr>
        <w:t>Usuarios: comprensión, accesibilidad y desempeño en conectividad real.</w:t>
      </w:r>
    </w:p>
    <w:p>
      <w:pPr>
        <w:pStyle w:val="Ttulo2"/>
        <w:keepNext/>
      </w:pPr>
      <w:r>
        <w:t>7. Fuentes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ISO/IEC/IEEE 29148:2018: https://www.iso.org/standard/72089.html</w:t>
        <w:br/>
        <w:t>ISO/IEC 25010:2023: https://www.iso.org/standard/78176.html</w:t>
        <w:br/>
        <w:t>OWASP ASVS 5.0.0: https://owasp.org/www-project-application-security-verification-standard/</w:t>
        <w:br/>
        <w:t>NIST SP 800-63-4: https://www.nist.gov/publications/nist-sp-800-63-4-digital-identity-guidelines</w:t>
        <w:br/>
        <w:t>WCAG 2.2: https://www.w3.org/TR/WCAG22/</w:t>
      </w:r>
    </w:p>
    <w:sectPr w:rsidR="009A1D14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5FCC1C-0D68-4C0F-8C73-D23B897F41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B2CEE2-BA91-4DCD-A6E2-7509C5C5595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B66"/>
    <w:multiLevelType w:val="multilevel"/>
    <w:tmpl w:val="0058A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11270"/>
    <w:multiLevelType w:val="multilevel"/>
    <w:tmpl w:val="31027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0B731E"/>
    <w:multiLevelType w:val="multilevel"/>
    <w:tmpl w:val="38881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903923"/>
    <w:multiLevelType w:val="multilevel"/>
    <w:tmpl w:val="54A81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AF1648"/>
    <w:multiLevelType w:val="multilevel"/>
    <w:tmpl w:val="F126B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A974E4"/>
    <w:multiLevelType w:val="multilevel"/>
    <w:tmpl w:val="63AC5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F805BB"/>
    <w:multiLevelType w:val="singleLevel"/>
    <w:tmpl w:val="E76C971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" w15:restartNumberingAfterBreak="0">
    <w:nsid w:val="1AA32011"/>
    <w:multiLevelType w:val="multilevel"/>
    <w:tmpl w:val="E464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086654"/>
    <w:multiLevelType w:val="singleLevel"/>
    <w:tmpl w:val="FC0E58B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9" w15:restartNumberingAfterBreak="0">
    <w:nsid w:val="1F1815DD"/>
    <w:multiLevelType w:val="multilevel"/>
    <w:tmpl w:val="04B4C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D4552F"/>
    <w:multiLevelType w:val="multilevel"/>
    <w:tmpl w:val="51EC3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2926BB"/>
    <w:multiLevelType w:val="multilevel"/>
    <w:tmpl w:val="0A92C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9B4A84"/>
    <w:multiLevelType w:val="multilevel"/>
    <w:tmpl w:val="F0E41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5B2B51"/>
    <w:multiLevelType w:val="multilevel"/>
    <w:tmpl w:val="E6C8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010435"/>
    <w:multiLevelType w:val="multilevel"/>
    <w:tmpl w:val="3494A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2F0261"/>
    <w:multiLevelType w:val="multilevel"/>
    <w:tmpl w:val="E9562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714E88"/>
    <w:multiLevelType w:val="multilevel"/>
    <w:tmpl w:val="08B67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9A6E6B"/>
    <w:multiLevelType w:val="multilevel"/>
    <w:tmpl w:val="8682B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4C1D4A"/>
    <w:multiLevelType w:val="multilevel"/>
    <w:tmpl w:val="B6100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CE4CAF"/>
    <w:multiLevelType w:val="multilevel"/>
    <w:tmpl w:val="34449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CC2AC4"/>
    <w:multiLevelType w:val="multilevel"/>
    <w:tmpl w:val="CDE44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63537F"/>
    <w:multiLevelType w:val="multilevel"/>
    <w:tmpl w:val="05562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D854BF"/>
    <w:multiLevelType w:val="multilevel"/>
    <w:tmpl w:val="B11AC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D67637"/>
    <w:multiLevelType w:val="multilevel"/>
    <w:tmpl w:val="D3CA6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A9580B"/>
    <w:multiLevelType w:val="multilevel"/>
    <w:tmpl w:val="CE60E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47303"/>
    <w:multiLevelType w:val="multilevel"/>
    <w:tmpl w:val="1C5C3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59F31F8"/>
    <w:multiLevelType w:val="multilevel"/>
    <w:tmpl w:val="7E4C8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460CAD"/>
    <w:multiLevelType w:val="multilevel"/>
    <w:tmpl w:val="02085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350D1E"/>
    <w:multiLevelType w:val="multilevel"/>
    <w:tmpl w:val="DFE02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454AED"/>
    <w:multiLevelType w:val="multilevel"/>
    <w:tmpl w:val="710C7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CF2311B"/>
    <w:multiLevelType w:val="multilevel"/>
    <w:tmpl w:val="EE246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455F85"/>
    <w:multiLevelType w:val="multilevel"/>
    <w:tmpl w:val="613E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058552">
    <w:abstractNumId w:val="6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14"/>
    <w:rsid w:val="0034533C"/>
    <w:rsid w:val="009A1D14"/>
    <w:rsid w:val="00A5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63A8"/>
  <w15:docId w15:val="{7B191AF5-EFAC-4485-93D4-8AF1FCC0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1837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MODEL CANVAS</dc:title>
  <dc:subject>Fase 2 - Investigación del negocio</dc:subject>
  <dc:creator>San Martin Finanzas</dc:creator>
  <dc:description>Documento preliminar sujeto a revisión y aprobación.</dc:description>
  <cp:lastModifiedBy>Leonardo Delgado</cp:lastModifiedBy>
  <cp:revision>2</cp:revision>
  <dcterms:created xsi:type="dcterms:W3CDTF">2026-08-15T19:37:00Z</dcterms:created>
  <dcterms:modified xsi:type="dcterms:W3CDTF">2026-08-15T19:39:00Z</dcterms:modified>
</cp:coreProperties>
</file>