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B3A21">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B3A21">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B3A21">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B3A21">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B3A21">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B3A21">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B3A21">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B3A21">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B3A21">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B3A21">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B3A21">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B3A21">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B3A21">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B3A21">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B3A21">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B3A21">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B3A21">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B3A21">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B3A21">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B3A21">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B3A21">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lastRenderedPageBreak/>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lastRenderedPageBreak/>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066DA0">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066DA0">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066DA0">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bookmarkStart w:id="26" w:name="_GoBack"/>
      <w:bookmarkEnd w:id="26"/>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lastRenderedPageBreak/>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[tools]</w:t>
      </w:r>
      <w:proofErr w:type="spellEnd"/>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730F02">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730F02">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730F02">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730F02">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386AE0">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lastRenderedPageBreak/>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BF17" w14:textId="77777777" w:rsidR="001B3A21" w:rsidRDefault="001B3A21">
      <w:pPr>
        <w:spacing w:before="0" w:after="0" w:line="240" w:lineRule="auto"/>
      </w:pPr>
      <w:r>
        <w:separator/>
      </w:r>
    </w:p>
  </w:endnote>
  <w:endnote w:type="continuationSeparator" w:id="0">
    <w:p w14:paraId="00860E4B" w14:textId="77777777" w:rsidR="001B3A21" w:rsidRDefault="001B3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9B51F9" w:rsidP="000E3B31">
    <w:pPr>
      <w:pBdr>
        <w:top w:val="nil"/>
        <w:left w:val="nil"/>
        <w:bottom w:val="nil"/>
        <w:right w:val="nil"/>
        <w:between w:val="nil"/>
      </w:pBdr>
      <w:tabs>
        <w:tab w:val="center" w:pos="4252"/>
        <w:tab w:val="right" w:pos="9070"/>
      </w:tabs>
      <w:spacing w:after="0" w:line="240" w:lineRule="auto"/>
      <w:jc w:val="left"/>
      <w:rPr>
        <w:lang w:val="en-GB"/>
      </w:rPr>
    </w:pPr>
    <w:r>
      <w:rPr>
        <w:color w:val="92D050"/>
        <w:sz w:val="18"/>
        <w:szCs w:val="18"/>
        <w:lang w:val="en-GB"/>
      </w:rPr>
      <w:t>[</w:t>
    </w:r>
    <w:r w:rsidR="00730F02" w:rsidRPr="00FE4FF4">
      <w:rPr>
        <w:color w:val="92D050"/>
        <w:sz w:val="18"/>
        <w:szCs w:val="18"/>
        <w:lang w:val="en-GB"/>
      </w:rPr>
      <w:t>acronym</w:t>
    </w:r>
    <w:r>
      <w:rPr>
        <w:color w:val="92D050"/>
        <w:sz w:val="18"/>
        <w:szCs w:val="18"/>
        <w:lang w:val="en-GB"/>
      </w:rPr>
      <w:t>]</w:t>
    </w:r>
    <w:r w:rsidR="00730F02" w:rsidRPr="00FE4FF4">
      <w:rPr>
        <w:color w:val="92D050"/>
        <w:sz w:val="18"/>
        <w:szCs w:val="18"/>
        <w:lang w:val="en-GB"/>
      </w:rPr>
      <w:t xml:space="preserve"> </w:t>
    </w:r>
    <w:r w:rsidR="00730F02" w:rsidRPr="00D55DB0">
      <w:rPr>
        <w:color w:val="999999"/>
        <w:sz w:val="18"/>
        <w:szCs w:val="18"/>
        <w:lang w:val="en-GB"/>
      </w:rPr>
      <w:t>DMP</w:t>
    </w:r>
    <w:r w:rsidR="00730F02" w:rsidRPr="00FE4FF4">
      <w:rPr>
        <w:color w:val="999999"/>
        <w:sz w:val="18"/>
        <w:szCs w:val="18"/>
        <w:lang w:val="en-GB"/>
      </w:rPr>
      <w:t xml:space="preserve"> version</w:t>
    </w:r>
    <w:r w:rsidR="00730F02">
      <w:rPr>
        <w:color w:val="92D050"/>
        <w:sz w:val="18"/>
        <w:szCs w:val="18"/>
        <w:lang w:val="en-GB"/>
      </w:rPr>
      <w:t xml:space="preserve"> </w:t>
    </w:r>
    <w:r w:rsidR="00730F02" w:rsidRPr="00FE4FF4">
      <w:rPr>
        <w:color w:val="92D050"/>
        <w:sz w:val="18"/>
        <w:szCs w:val="18"/>
        <w:lang w:val="en-GB"/>
      </w:rPr>
      <w:t>…</w:t>
    </w:r>
    <w:r w:rsidR="00730F02">
      <w:rPr>
        <w:color w:val="999999"/>
        <w:sz w:val="18"/>
        <w:szCs w:val="18"/>
      </w:rPr>
      <w:tab/>
    </w:r>
    <w:r w:rsidR="00730F02">
      <w:rPr>
        <w:color w:val="999999"/>
        <w:sz w:val="18"/>
        <w:szCs w:val="18"/>
      </w:rPr>
      <w:tab/>
    </w:r>
    <w:r w:rsidR="00730F02">
      <w:rPr>
        <w:color w:val="999999"/>
        <w:sz w:val="18"/>
        <w:szCs w:val="18"/>
      </w:rPr>
      <w:fldChar w:fldCharType="begin"/>
    </w:r>
    <w:r w:rsidR="00730F02" w:rsidRPr="00F24115">
      <w:rPr>
        <w:color w:val="999999"/>
        <w:sz w:val="18"/>
        <w:szCs w:val="18"/>
        <w:lang w:val="en-GB"/>
      </w:rPr>
      <w:instrText>PAGE</w:instrText>
    </w:r>
    <w:r w:rsidR="00730F02">
      <w:rPr>
        <w:color w:val="999999"/>
        <w:sz w:val="18"/>
        <w:szCs w:val="18"/>
      </w:rPr>
      <w:fldChar w:fldCharType="separate"/>
    </w:r>
    <w:r w:rsidR="00730F02">
      <w:rPr>
        <w:color w:val="999999"/>
        <w:sz w:val="18"/>
        <w:szCs w:val="18"/>
      </w:rPr>
      <w:t>3</w:t>
    </w:r>
    <w:r w:rsidR="00730F02">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ACB2" w14:textId="77777777" w:rsidR="001B3A21" w:rsidRDefault="001B3A21">
      <w:pPr>
        <w:spacing w:before="0" w:after="0" w:line="240" w:lineRule="auto"/>
      </w:pPr>
      <w:r>
        <w:separator/>
      </w:r>
    </w:p>
  </w:footnote>
  <w:footnote w:type="continuationSeparator" w:id="0">
    <w:p w14:paraId="32DC6B66" w14:textId="77777777" w:rsidR="001B3A21" w:rsidRDefault="001B3A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39813C-E01F-4C5D-8AE2-057E9C68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1594</Words>
  <Characters>9092</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40</cp:revision>
  <dcterms:created xsi:type="dcterms:W3CDTF">2021-03-29T11:06:00Z</dcterms:created>
  <dcterms:modified xsi:type="dcterms:W3CDTF">2021-11-24T13:17:00Z</dcterms:modified>
</cp:coreProperties>
</file>