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B6CB36" w14:textId="77777777" w:rsidR="006937AF" w:rsidRPr="00A148A3" w:rsidRDefault="006937AF" w:rsidP="00CA72A3">
      <w:pPr>
        <w:pStyle w:val="Capa"/>
        <w:spacing w:before="240" w:line="240" w:lineRule="auto"/>
        <w:rPr>
          <w:rFonts w:ascii="Arial" w:hAnsi="Arial" w:cs="Arial"/>
        </w:rPr>
      </w:pPr>
      <w:r>
        <w:rPr>
          <w:rFonts w:ascii="Arial" w:hAnsi="Arial" w:cs="Arial"/>
          <w:noProof/>
          <w:lang w:eastAsia="pt-BR"/>
        </w:rPr>
        <w:drawing>
          <wp:inline distT="0" distB="0" distL="0" distR="0" wp14:anchorId="62E3D33B" wp14:editId="592B68E8">
            <wp:extent cx="4267200" cy="1136650"/>
            <wp:effectExtent l="0" t="0" r="0" b="0"/>
            <wp:docPr id="1" name="Imagem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ack background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E9B53" w14:textId="77777777" w:rsidR="006937AF" w:rsidRPr="00A148A3" w:rsidRDefault="006937AF" w:rsidP="00CA72A3">
      <w:pPr>
        <w:pStyle w:val="Capa"/>
        <w:spacing w:before="240" w:line="240" w:lineRule="auto"/>
        <w:rPr>
          <w:rFonts w:ascii="Arial" w:hAnsi="Arial" w:cs="Arial"/>
          <w:sz w:val="44"/>
          <w:szCs w:val="44"/>
        </w:rPr>
      </w:pPr>
    </w:p>
    <w:p w14:paraId="6EB9AEA5" w14:textId="77777777" w:rsidR="006937AF" w:rsidRPr="00A148A3" w:rsidRDefault="006937AF" w:rsidP="00CA72A3">
      <w:pPr>
        <w:pStyle w:val="Capa"/>
        <w:spacing w:before="240" w:line="240" w:lineRule="auto"/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>Bacharelado em Sistemas de Informação</w:t>
      </w:r>
    </w:p>
    <w:p w14:paraId="646DD491" w14:textId="4688E3CB" w:rsidR="006937AF" w:rsidRPr="00A148A3" w:rsidRDefault="006937AF" w:rsidP="00CA72A3">
      <w:pPr>
        <w:pStyle w:val="Capa"/>
        <w:spacing w:before="240" w:line="240" w:lineRule="auto"/>
        <w:rPr>
          <w:rFonts w:ascii="Arial" w:hAnsi="Arial" w:cs="Arial"/>
        </w:rPr>
      </w:pPr>
      <w:r>
        <w:rPr>
          <w:rFonts w:ascii="Arial" w:hAnsi="Arial" w:cs="Arial"/>
        </w:rPr>
        <w:t>Machine Learning</w:t>
      </w:r>
    </w:p>
    <w:p w14:paraId="0B01F399" w14:textId="77777777" w:rsidR="006937AF" w:rsidRDefault="006937AF" w:rsidP="00CA72A3">
      <w:pPr>
        <w:pStyle w:val="Capa"/>
        <w:spacing w:before="240" w:line="240" w:lineRule="auto"/>
        <w:jc w:val="left"/>
        <w:rPr>
          <w:rFonts w:ascii="Arial" w:hAnsi="Arial" w:cs="Arial"/>
        </w:rPr>
      </w:pPr>
    </w:p>
    <w:p w14:paraId="638F8F37" w14:textId="77777777" w:rsidR="00CA72A3" w:rsidRDefault="00CA72A3" w:rsidP="00CA72A3">
      <w:pPr>
        <w:pStyle w:val="Capa"/>
        <w:spacing w:before="240" w:line="240" w:lineRule="auto"/>
        <w:jc w:val="left"/>
        <w:rPr>
          <w:rFonts w:ascii="Arial" w:hAnsi="Arial" w:cs="Arial"/>
        </w:rPr>
      </w:pPr>
    </w:p>
    <w:p w14:paraId="06AF2FED" w14:textId="77777777" w:rsidR="00CA72A3" w:rsidRDefault="00CA72A3" w:rsidP="00CA72A3">
      <w:pPr>
        <w:pStyle w:val="Capa"/>
        <w:spacing w:before="240" w:line="240" w:lineRule="auto"/>
        <w:jc w:val="left"/>
        <w:rPr>
          <w:rFonts w:ascii="Arial" w:hAnsi="Arial" w:cs="Arial"/>
        </w:rPr>
      </w:pPr>
    </w:p>
    <w:p w14:paraId="53048487" w14:textId="77777777" w:rsidR="00CA72A3" w:rsidRPr="00A148A3" w:rsidRDefault="00CA72A3" w:rsidP="00CA72A3">
      <w:pPr>
        <w:pStyle w:val="Capa"/>
        <w:spacing w:before="240" w:line="240" w:lineRule="auto"/>
        <w:jc w:val="left"/>
        <w:rPr>
          <w:rFonts w:ascii="Arial" w:hAnsi="Arial" w:cs="Arial"/>
        </w:rPr>
      </w:pPr>
    </w:p>
    <w:p w14:paraId="677895EC" w14:textId="5C061423" w:rsidR="006937AF" w:rsidRPr="00A148A3" w:rsidRDefault="006937AF" w:rsidP="00CA72A3">
      <w:pPr>
        <w:pStyle w:val="CapaTtulo"/>
        <w:spacing w:before="240" w:line="240" w:lineRule="auto"/>
        <w:rPr>
          <w:rFonts w:ascii="Arial" w:hAnsi="Arial" w:cs="Arial"/>
        </w:rPr>
      </w:pPr>
      <w:r>
        <w:rPr>
          <w:rFonts w:ascii="Arial" w:hAnsi="Arial" w:cs="Arial"/>
        </w:rPr>
        <w:t>Atividade 1</w:t>
      </w:r>
    </w:p>
    <w:p w14:paraId="181C77E5" w14:textId="70699F57" w:rsidR="006937AF" w:rsidRDefault="006937AF" w:rsidP="00CA72A3">
      <w:pPr>
        <w:pStyle w:val="Capa"/>
        <w:spacing w:before="240" w:line="240" w:lineRule="auto"/>
        <w:rPr>
          <w:rFonts w:ascii="Arial" w:hAnsi="Arial" w:cs="Arial"/>
        </w:rPr>
      </w:pPr>
    </w:p>
    <w:p w14:paraId="2EDD97CF" w14:textId="77777777" w:rsidR="00CA72A3" w:rsidRPr="00A148A3" w:rsidRDefault="00CA72A3" w:rsidP="00CA72A3">
      <w:pPr>
        <w:pStyle w:val="Capa"/>
        <w:spacing w:before="240" w:line="240" w:lineRule="auto"/>
        <w:rPr>
          <w:rFonts w:ascii="Arial" w:hAnsi="Arial" w:cs="Arial"/>
        </w:rPr>
      </w:pPr>
    </w:p>
    <w:p w14:paraId="07A56349" w14:textId="55529EBB" w:rsidR="00AD480B" w:rsidRDefault="00AD480B" w:rsidP="00AD480B">
      <w:pPr>
        <w:pStyle w:val="Capa"/>
        <w:spacing w:before="240" w:line="240" w:lineRule="auto"/>
        <w:rPr>
          <w:rFonts w:ascii="Arial" w:hAnsi="Arial" w:cs="Arial"/>
        </w:rPr>
      </w:pPr>
      <w:r>
        <w:rPr>
          <w:rFonts w:ascii="Arial" w:hAnsi="Arial" w:cs="Arial"/>
        </w:rPr>
        <w:t>João Vitor Yazbek</w:t>
      </w:r>
    </w:p>
    <w:p w14:paraId="17305B05" w14:textId="2C4FACD0" w:rsidR="006937AF" w:rsidRPr="00A148A3" w:rsidRDefault="006937AF" w:rsidP="00CA72A3">
      <w:pPr>
        <w:pStyle w:val="Capa"/>
        <w:spacing w:before="240" w:line="240" w:lineRule="auto"/>
        <w:rPr>
          <w:rFonts w:ascii="Arial" w:hAnsi="Arial" w:cs="Arial"/>
        </w:rPr>
      </w:pPr>
      <w:r>
        <w:rPr>
          <w:rFonts w:ascii="Arial" w:hAnsi="Arial" w:cs="Arial"/>
        </w:rPr>
        <w:t>Matteus Prado Lopes Guimarães</w:t>
      </w:r>
    </w:p>
    <w:p w14:paraId="3E8927FD" w14:textId="77777777" w:rsidR="006937AF" w:rsidRPr="00A148A3" w:rsidRDefault="006937AF" w:rsidP="00CA72A3">
      <w:pPr>
        <w:pStyle w:val="Capa"/>
        <w:spacing w:before="240" w:line="240" w:lineRule="auto"/>
        <w:rPr>
          <w:rFonts w:ascii="Arial" w:hAnsi="Arial" w:cs="Arial"/>
        </w:rPr>
      </w:pPr>
    </w:p>
    <w:p w14:paraId="2ECFDF2A" w14:textId="77777777" w:rsidR="006937AF" w:rsidRPr="00A148A3" w:rsidRDefault="006937AF" w:rsidP="00CA72A3">
      <w:pPr>
        <w:pStyle w:val="Capa"/>
        <w:spacing w:before="240" w:line="240" w:lineRule="auto"/>
        <w:rPr>
          <w:rFonts w:ascii="Arial" w:hAnsi="Arial" w:cs="Arial"/>
        </w:rPr>
      </w:pPr>
    </w:p>
    <w:p w14:paraId="151B4E85" w14:textId="77777777" w:rsidR="006937AF" w:rsidRPr="00A148A3" w:rsidRDefault="006937AF" w:rsidP="00CA72A3">
      <w:pPr>
        <w:pStyle w:val="Capa"/>
        <w:spacing w:before="240" w:line="240" w:lineRule="auto"/>
        <w:jc w:val="left"/>
        <w:rPr>
          <w:rFonts w:ascii="Arial" w:hAnsi="Arial" w:cs="Arial"/>
        </w:rPr>
      </w:pPr>
    </w:p>
    <w:p w14:paraId="4D01BB40" w14:textId="77777777" w:rsidR="006937AF" w:rsidRPr="00A148A3" w:rsidRDefault="006937AF" w:rsidP="00CA72A3">
      <w:pPr>
        <w:pStyle w:val="Capa"/>
        <w:spacing w:before="240" w:line="240" w:lineRule="auto"/>
        <w:jc w:val="left"/>
        <w:rPr>
          <w:rFonts w:ascii="Arial" w:hAnsi="Arial" w:cs="Arial"/>
        </w:rPr>
      </w:pPr>
    </w:p>
    <w:p w14:paraId="56795C91" w14:textId="77777777" w:rsidR="006937AF" w:rsidRDefault="006937AF" w:rsidP="00CA72A3">
      <w:pPr>
        <w:pStyle w:val="Capa"/>
        <w:spacing w:before="240" w:line="240" w:lineRule="auto"/>
        <w:rPr>
          <w:rFonts w:ascii="Arial" w:hAnsi="Arial" w:cs="Arial"/>
        </w:rPr>
      </w:pPr>
    </w:p>
    <w:p w14:paraId="3F34608C" w14:textId="77777777" w:rsidR="00CA72A3" w:rsidRDefault="00CA72A3" w:rsidP="00CA72A3">
      <w:pPr>
        <w:pStyle w:val="Capa"/>
        <w:spacing w:before="240" w:line="240" w:lineRule="auto"/>
        <w:rPr>
          <w:rFonts w:ascii="Arial" w:hAnsi="Arial" w:cs="Arial"/>
        </w:rPr>
      </w:pPr>
    </w:p>
    <w:p w14:paraId="63D29A0C" w14:textId="77777777" w:rsidR="00CA72A3" w:rsidRPr="00A148A3" w:rsidRDefault="00CA72A3" w:rsidP="00CA72A3">
      <w:pPr>
        <w:pStyle w:val="Capa"/>
        <w:spacing w:before="240" w:line="240" w:lineRule="auto"/>
        <w:rPr>
          <w:rFonts w:ascii="Arial" w:hAnsi="Arial" w:cs="Arial"/>
        </w:rPr>
      </w:pPr>
    </w:p>
    <w:p w14:paraId="08E10A1C" w14:textId="77777777" w:rsidR="006937AF" w:rsidRPr="00A148A3" w:rsidRDefault="006937AF" w:rsidP="00CA72A3">
      <w:pPr>
        <w:pStyle w:val="Capa"/>
        <w:spacing w:before="240" w:line="240" w:lineRule="auto"/>
        <w:rPr>
          <w:rFonts w:ascii="Arial" w:hAnsi="Arial" w:cs="Arial"/>
        </w:rPr>
      </w:pPr>
      <w:r>
        <w:rPr>
          <w:rFonts w:ascii="Arial" w:hAnsi="Arial" w:cs="Arial"/>
        </w:rPr>
        <w:t>São Paulo</w:t>
      </w:r>
    </w:p>
    <w:p w14:paraId="60209354" w14:textId="19CC2775" w:rsidR="006937AF" w:rsidRDefault="006937AF" w:rsidP="00CA72A3">
      <w:pPr>
        <w:pStyle w:val="Capa"/>
        <w:spacing w:before="240" w:line="240" w:lineRule="auto"/>
        <w:rPr>
          <w:rFonts w:ascii="Arial" w:hAnsi="Arial" w:cs="Arial"/>
        </w:rPr>
      </w:pPr>
      <w:r>
        <w:rPr>
          <w:rFonts w:ascii="Arial" w:hAnsi="Arial" w:cs="Arial"/>
        </w:rPr>
        <w:t>2026</w:t>
      </w:r>
    </w:p>
    <w:p w14:paraId="213FFB04" w14:textId="72A4A5D6" w:rsidR="006957B9" w:rsidRPr="00EC2A86" w:rsidRDefault="00DE5F59">
      <w:pPr>
        <w:pStyle w:val="Ttulo2"/>
        <w:spacing w:before="240" w:line="240" w:lineRule="auto"/>
      </w:pPr>
      <w:r w:rsidRPr="00EC2A86">
        <w:lastRenderedPageBreak/>
        <w:t>Introdução</w:t>
      </w:r>
      <w:r w:rsidRPr="00EC2A86">
        <w:pict w14:anchorId="0E9DBD6D">
          <v:rect id="_x0000_i1025" style="width:0;height:1.5pt" o:hralign="center" o:hrstd="t" o:hr="t" fillcolor="gray" stroked="f"/>
        </w:pict>
      </w:r>
    </w:p>
    <w:p w14:paraId="38E38B94" w14:textId="69656F1B" w:rsidR="006957B9" w:rsidRPr="00EC2A86" w:rsidRDefault="00EC2A86">
      <w:pPr>
        <w:spacing w:before="240" w:line="240" w:lineRule="auto"/>
        <w:ind w:firstLine="708"/>
        <w:jc w:val="both"/>
        <w:rPr>
          <w:rFonts w:ascii="Arial" w:hAnsi="Arial" w:cs="Arial"/>
        </w:rPr>
      </w:pPr>
      <w:r w:rsidRPr="00EC2A86">
        <w:rPr>
          <w:rFonts w:ascii="Arial" w:hAnsi="Arial" w:cs="Arial"/>
        </w:rPr>
        <w:t>A atividade tinha como objetivo analisar custos de ligações telefônica, sendo eles tempo e dinheiro, provando que uma</w:t>
      </w:r>
      <w:r w:rsidR="00DE5F59" w:rsidRPr="00EC2A86">
        <w:rPr>
          <w:rFonts w:ascii="Arial" w:hAnsi="Arial" w:cs="Arial"/>
        </w:rPr>
        <w:t xml:space="preserve"> campanha de telemarketing só vale a pena se as ligações chegarem a quem tem interesse. Na base que analisamos, com 41.188 contatos feitos por um banco português entre 2008 e 2010, apenas 11,3% terminaram com o cliente contratando o depósito a prazo, um</w:t>
      </w:r>
      <w:r w:rsidR="00DE5F59" w:rsidRPr="00EC2A86">
        <w:rPr>
          <w:rFonts w:ascii="Arial" w:hAnsi="Arial" w:cs="Arial"/>
        </w:rPr>
        <w:t xml:space="preserve"> investimento conservador parecido com o CDB. Todo o restante foi tempo de operador gasto com quem recusou a oferta.</w:t>
      </w:r>
    </w:p>
    <w:p w14:paraId="0C6E8423" w14:textId="77777777" w:rsidR="006957B9" w:rsidRPr="00EC2A86" w:rsidRDefault="00DE5F59">
      <w:pPr>
        <w:spacing w:before="240" w:line="240" w:lineRule="auto"/>
        <w:ind w:firstLine="708"/>
        <w:jc w:val="both"/>
        <w:rPr>
          <w:rFonts w:ascii="Arial" w:hAnsi="Arial" w:cs="Arial"/>
        </w:rPr>
      </w:pPr>
      <w:r w:rsidRPr="00EC2A86">
        <w:rPr>
          <w:rFonts w:ascii="Arial" w:hAnsi="Arial" w:cs="Arial"/>
        </w:rPr>
        <w:t>Neste trabalho, tentamos prever quais clientes têm mais chance de aderir, usando apenas o que o banco já sabe antes de ligar: os dados do c</w:t>
      </w:r>
      <w:r w:rsidRPr="00EC2A86">
        <w:rPr>
          <w:rFonts w:ascii="Arial" w:hAnsi="Arial" w:cs="Arial"/>
        </w:rPr>
        <w:t>liente, o histórico de contatos e o contexto econômico do momento. Essa restrição é importante, porque parte das colunas da base só existe depois da chamada e não pode entrar em um modelo que decide para quem ligar.</w:t>
      </w:r>
    </w:p>
    <w:p w14:paraId="06CFDE41" w14:textId="77777777" w:rsidR="006957B9" w:rsidRPr="00EC2A86" w:rsidRDefault="00DE5F59">
      <w:pPr>
        <w:spacing w:before="240" w:line="240" w:lineRule="auto"/>
        <w:ind w:firstLine="708"/>
        <w:jc w:val="both"/>
        <w:rPr>
          <w:rFonts w:ascii="Arial" w:hAnsi="Arial" w:cs="Arial"/>
        </w:rPr>
      </w:pPr>
      <w:r w:rsidRPr="00EC2A86">
        <w:rPr>
          <w:rFonts w:ascii="Arial" w:hAnsi="Arial" w:cs="Arial"/>
        </w:rPr>
        <w:t>Comparamos três classificadores (k-NN, N</w:t>
      </w:r>
      <w:r w:rsidRPr="00EC2A86">
        <w:rPr>
          <w:rFonts w:ascii="Arial" w:hAnsi="Arial" w:cs="Arial"/>
        </w:rPr>
        <w:t>aive Bayes e regressão logística) e escolhemos o F1 da classe “sim” como medida principal, porque ele equilibra duas coisas que interessam ao banco: encontrar quem aderiria e não desperdiçar ligações.</w:t>
      </w:r>
    </w:p>
    <w:p w14:paraId="6F8E052E" w14:textId="3EEEDD03" w:rsidR="006957B9" w:rsidRPr="00EC2A86" w:rsidRDefault="00DE5F59">
      <w:pPr>
        <w:pStyle w:val="Ttulo2"/>
        <w:spacing w:before="240" w:line="240" w:lineRule="auto"/>
      </w:pPr>
      <w:r w:rsidRPr="00EC2A86">
        <w:t>Análise exploratória</w:t>
      </w:r>
      <w:r w:rsidRPr="00EC2A86">
        <w:pict w14:anchorId="715212DC">
          <v:rect id="_x0000_i1026" style="width:0;height:1.5pt" o:hralign="center" o:hrstd="t" o:hr="t" fillcolor="gray" stroked="f"/>
        </w:pict>
      </w:r>
    </w:p>
    <w:p w14:paraId="48FBFDA7" w14:textId="77777777" w:rsidR="006957B9" w:rsidRPr="00EC2A86" w:rsidRDefault="00DE5F59">
      <w:pPr>
        <w:spacing w:before="240" w:line="240" w:lineRule="auto"/>
        <w:ind w:firstLine="708"/>
        <w:jc w:val="both"/>
        <w:rPr>
          <w:rFonts w:ascii="Arial" w:hAnsi="Arial" w:cs="Arial"/>
        </w:rPr>
      </w:pPr>
      <w:r w:rsidRPr="00EC2A86">
        <w:rPr>
          <w:rFonts w:ascii="Arial" w:hAnsi="Arial" w:cs="Arial"/>
        </w:rPr>
        <w:t>A base tem dez atributos numér</w:t>
      </w:r>
      <w:r w:rsidRPr="00EC2A86">
        <w:rPr>
          <w:rFonts w:ascii="Arial" w:hAnsi="Arial" w:cs="Arial"/>
        </w:rPr>
        <w:t>icos e dez categóricos, além da variável-alvo. Os principais achados são apresentados a seguir.</w:t>
      </w:r>
    </w:p>
    <w:p w14:paraId="063EC850" w14:textId="77777777" w:rsidR="006957B9" w:rsidRPr="00EC2A86" w:rsidRDefault="00DE5F59">
      <w:pPr>
        <w:spacing w:before="240" w:line="240" w:lineRule="auto"/>
        <w:ind w:firstLine="708"/>
        <w:jc w:val="both"/>
        <w:rPr>
          <w:rFonts w:ascii="Arial" w:hAnsi="Arial" w:cs="Arial"/>
        </w:rPr>
      </w:pPr>
      <w:r w:rsidRPr="00EC2A86">
        <w:rPr>
          <w:rFonts w:ascii="Arial" w:hAnsi="Arial" w:cs="Arial"/>
          <w:b/>
          <w:bCs/>
        </w:rPr>
        <w:t xml:space="preserve">Desbalanceamento. </w:t>
      </w:r>
      <w:r w:rsidRPr="00EC2A86">
        <w:rPr>
          <w:rFonts w:ascii="Arial" w:hAnsi="Arial" w:cs="Arial"/>
        </w:rPr>
        <w:t>Apenas 11,3% dos contatos (4.640) resultam em adesão, contra 88,7% (36.548) sem adesão. Um modelo que respondesse sempre “não” acertaria 88,7%</w:t>
      </w:r>
      <w:r w:rsidRPr="00EC2A86">
        <w:rPr>
          <w:rFonts w:ascii="Arial" w:hAnsi="Arial" w:cs="Arial"/>
        </w:rPr>
        <w:t xml:space="preserve"> das vezes sem identificar nenhum cliente. Por isso, a acurácia isolada não é um critério adequado de comparação.</w:t>
      </w:r>
    </w:p>
    <w:p w14:paraId="319753F8" w14:textId="77777777" w:rsidR="006957B9" w:rsidRPr="00EC2A86" w:rsidRDefault="00DE5F59">
      <w:pPr>
        <w:spacing w:before="240" w:line="240" w:lineRule="auto"/>
        <w:ind w:firstLine="708"/>
        <w:jc w:val="both"/>
        <w:rPr>
          <w:rFonts w:ascii="Arial" w:hAnsi="Arial" w:cs="Arial"/>
        </w:rPr>
      </w:pPr>
      <w:r w:rsidRPr="00EC2A86">
        <w:rPr>
          <w:rFonts w:ascii="Arial" w:hAnsi="Arial" w:cs="Arial"/>
          <w:b/>
          <w:bCs/>
        </w:rPr>
        <w:t xml:space="preserve">Qualidade dos dados. </w:t>
      </w:r>
      <w:r w:rsidRPr="00EC2A86">
        <w:rPr>
          <w:rFonts w:ascii="Arial" w:hAnsi="Arial" w:cs="Arial"/>
        </w:rPr>
        <w:t>Não há valores nulos explícitos, mas os ausentes estão codificados de duas formas: a categoria “desconhecido”, presente e</w:t>
      </w:r>
      <w:r w:rsidRPr="00EC2A86">
        <w:rPr>
          <w:rFonts w:ascii="Arial" w:hAnsi="Arial" w:cs="Arial"/>
        </w:rPr>
        <w:t xml:space="preserve">m seis colunas (8.597 registros em </w:t>
      </w:r>
      <w:r w:rsidRPr="00EC2A86">
        <w:rPr>
          <w:rFonts w:ascii="Arial" w:hAnsi="Arial" w:cs="Arial"/>
        </w:rPr>
        <w:t>inadimplente</w:t>
      </w:r>
      <w:r w:rsidRPr="00EC2A86">
        <w:rPr>
          <w:rFonts w:ascii="Arial" w:hAnsi="Arial" w:cs="Arial"/>
        </w:rPr>
        <w:t xml:space="preserve">, 1.731 em </w:t>
      </w:r>
      <w:r w:rsidRPr="00EC2A86">
        <w:rPr>
          <w:rFonts w:ascii="Arial" w:hAnsi="Arial" w:cs="Arial"/>
        </w:rPr>
        <w:t>escolaridade</w:t>
      </w:r>
      <w:r w:rsidRPr="00EC2A86">
        <w:rPr>
          <w:rFonts w:ascii="Arial" w:hAnsi="Arial" w:cs="Arial"/>
        </w:rPr>
        <w:t xml:space="preserve">), e o valor 999 em </w:t>
      </w:r>
      <w:r w:rsidRPr="00EC2A86">
        <w:rPr>
          <w:rFonts w:ascii="Arial" w:hAnsi="Arial" w:cs="Arial"/>
        </w:rPr>
        <w:t>dias_desde_ultimo_contato</w:t>
      </w:r>
      <w:r w:rsidRPr="00EC2A86">
        <w:rPr>
          <w:rFonts w:ascii="Arial" w:hAnsi="Arial" w:cs="Arial"/>
        </w:rPr>
        <w:t xml:space="preserve">, que indica cliente nunca contatado e ocorre em 96,3% das linhas. Há ainda 12 registros duplicados, e o atributo </w:t>
      </w:r>
      <w:r w:rsidRPr="00EC2A86">
        <w:rPr>
          <w:rFonts w:ascii="Arial" w:hAnsi="Arial" w:cs="Arial"/>
        </w:rPr>
        <w:t>inadimplente</w:t>
      </w:r>
      <w:r w:rsidRPr="00EC2A86">
        <w:rPr>
          <w:rFonts w:ascii="Arial" w:hAnsi="Arial" w:cs="Arial"/>
        </w:rPr>
        <w:t xml:space="preserve"> quase não varia (apenas três clientes com “sim”).</w:t>
      </w:r>
    </w:p>
    <w:p w14:paraId="157D1FB2" w14:textId="77777777" w:rsidR="006957B9" w:rsidRPr="00EC2A86" w:rsidRDefault="00DE5F59">
      <w:pPr>
        <w:spacing w:before="240" w:line="240" w:lineRule="auto"/>
        <w:ind w:firstLine="708"/>
        <w:jc w:val="both"/>
        <w:rPr>
          <w:rFonts w:ascii="Arial" w:hAnsi="Arial" w:cs="Arial"/>
        </w:rPr>
      </w:pPr>
      <w:r w:rsidRPr="00EC2A86">
        <w:rPr>
          <w:rFonts w:ascii="Arial" w:hAnsi="Arial" w:cs="Arial"/>
          <w:b/>
          <w:bCs/>
        </w:rPr>
        <w:t xml:space="preserve">Perfil do cliente. </w:t>
      </w:r>
      <w:r w:rsidRPr="00EC2A86">
        <w:rPr>
          <w:rFonts w:ascii="Arial" w:hAnsi="Arial" w:cs="Arial"/>
        </w:rPr>
        <w:t>A taxa de adesão varia bastante entre profissões: estudantes (31%) e aposentados (25%) aderem muito mais que operários (7%) e trabalhadores de serviços (8%).</w:t>
      </w:r>
    </w:p>
    <w:p w14:paraId="7C35B7E4" w14:textId="77777777" w:rsidR="006957B9" w:rsidRPr="00EC2A86" w:rsidRDefault="00DE5F59">
      <w:pPr>
        <w:spacing w:before="240" w:line="240" w:lineRule="auto"/>
        <w:ind w:firstLine="708"/>
        <w:jc w:val="both"/>
        <w:rPr>
          <w:rFonts w:ascii="Arial" w:hAnsi="Arial" w:cs="Arial"/>
        </w:rPr>
      </w:pPr>
      <w:r w:rsidRPr="00EC2A86">
        <w:rPr>
          <w:rFonts w:ascii="Arial" w:hAnsi="Arial" w:cs="Arial"/>
          <w:b/>
          <w:bCs/>
        </w:rPr>
        <w:t xml:space="preserve">Histórico e calendário. </w:t>
      </w:r>
      <w:r w:rsidRPr="00EC2A86">
        <w:rPr>
          <w:rFonts w:ascii="Arial" w:hAnsi="Arial" w:cs="Arial"/>
        </w:rPr>
        <w:t>Clie</w:t>
      </w:r>
      <w:r w:rsidRPr="00EC2A86">
        <w:rPr>
          <w:rFonts w:ascii="Arial" w:hAnsi="Arial" w:cs="Arial"/>
        </w:rPr>
        <w:t>ntes que aderiram na campanha anterior voltam a aderir em 65% dos casos, contra 9% dos que nunca participaram. A adesão também depende do mês: supera 40% em março, setembro, outubro e dezembro, e fica em 6% em maio, mês com maior volume de ligações (Figura</w:t>
      </w:r>
      <w:r w:rsidRPr="00EC2A86">
        <w:rPr>
          <w:rFonts w:ascii="Arial" w:hAnsi="Arial" w:cs="Arial"/>
        </w:rPr>
        <w:t xml:space="preserve"> 1).</w:t>
      </w:r>
    </w:p>
    <w:p w14:paraId="33DCA9EE" w14:textId="77777777" w:rsidR="006957B9" w:rsidRPr="00EC2A86" w:rsidRDefault="00DE5F59">
      <w:pPr>
        <w:keepNext/>
        <w:spacing w:before="240" w:line="240" w:lineRule="auto"/>
        <w:jc w:val="center"/>
        <w:rPr>
          <w:rFonts w:ascii="Arial" w:hAnsi="Arial" w:cs="Arial"/>
        </w:rPr>
      </w:pPr>
      <w:r w:rsidRPr="00EC2A86">
        <w:rPr>
          <w:rFonts w:ascii="Arial" w:hAnsi="Arial" w:cs="Arial"/>
          <w:noProof/>
        </w:rPr>
        <w:lastRenderedPageBreak/>
        <w:drawing>
          <wp:inline distT="0" distB="0" distL="0" distR="0" wp14:anchorId="0156CA33" wp14:editId="7997C3BE">
            <wp:extent cx="5349240" cy="1753112"/>
            <wp:effectExtent l="0" t="0" r="0" b="0"/>
            <wp:docPr id="101" name="Figura 1" descr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_relatorio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75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3357" w14:textId="68F6EDBB" w:rsidR="006957B9" w:rsidRPr="00EC2A86" w:rsidRDefault="00DE5F59">
      <w:pPr>
        <w:spacing w:before="240" w:line="240" w:lineRule="auto"/>
        <w:ind w:firstLine="708"/>
        <w:jc w:val="both"/>
        <w:rPr>
          <w:rFonts w:ascii="Arial" w:hAnsi="Arial" w:cs="Arial"/>
        </w:rPr>
      </w:pPr>
      <w:r w:rsidRPr="00EC2A86">
        <w:rPr>
          <w:rFonts w:ascii="Arial" w:hAnsi="Arial" w:cs="Arial"/>
          <w:b/>
          <w:bCs/>
        </w:rPr>
        <w:t xml:space="preserve">Duração da ligação e contexto econômico. </w:t>
      </w:r>
      <w:r w:rsidRPr="00EC2A86">
        <w:rPr>
          <w:rFonts w:ascii="Arial" w:hAnsi="Arial" w:cs="Arial"/>
        </w:rPr>
        <w:t>As ligações que terminam em adesão são bem mais longas (mediana de 449 segundos, contra 164), e as adesões concentram-se nos períodos de</w:t>
      </w:r>
      <w:r w:rsidRPr="00EC2A86">
        <w:rPr>
          <w:rFonts w:ascii="Arial" w:hAnsi="Arial" w:cs="Arial"/>
        </w:rPr>
        <w:t xml:space="preserve"> Euribor baixa</w:t>
      </w:r>
      <w:r w:rsidRPr="00EC2A86">
        <w:rPr>
          <w:rFonts w:ascii="Arial" w:hAnsi="Arial" w:cs="Arial"/>
        </w:rPr>
        <w:t>. Os indicadores macroeconômicos são fortemente correlacionados entre si: Euribor, variação do emprego e número de empregados têm correlações acima de 0,9. Esses atributos descrevem o momento do contato, e não o cliente, o que é re</w:t>
      </w:r>
      <w:r w:rsidRPr="00EC2A86">
        <w:rPr>
          <w:rFonts w:ascii="Arial" w:hAnsi="Arial" w:cs="Arial"/>
        </w:rPr>
        <w:t>levante para interpretar os modelos.</w:t>
      </w:r>
    </w:p>
    <w:p w14:paraId="0D916E32" w14:textId="77777777" w:rsidR="006957B9" w:rsidRPr="00EC2A86" w:rsidRDefault="00DE5F59">
      <w:pPr>
        <w:keepNext/>
        <w:spacing w:before="240" w:line="240" w:lineRule="auto"/>
        <w:jc w:val="center"/>
        <w:rPr>
          <w:rFonts w:ascii="Arial" w:hAnsi="Arial" w:cs="Arial"/>
        </w:rPr>
      </w:pPr>
      <w:r w:rsidRPr="00EC2A86">
        <w:rPr>
          <w:rFonts w:ascii="Arial" w:hAnsi="Arial" w:cs="Arial"/>
          <w:noProof/>
        </w:rPr>
        <w:drawing>
          <wp:inline distT="0" distB="0" distL="0" distR="0" wp14:anchorId="4E3D3939" wp14:editId="1DC925FD">
            <wp:extent cx="5349240" cy="1753112"/>
            <wp:effectExtent l="0" t="0" r="0" b="0"/>
            <wp:docPr id="102" name="Figura 2" descr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_relatorio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75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F8EB" w14:textId="2137D70B" w:rsidR="006957B9" w:rsidRPr="00EC2A86" w:rsidRDefault="00DE5F59">
      <w:pPr>
        <w:pStyle w:val="Ttulo2"/>
        <w:spacing w:before="240" w:line="240" w:lineRule="auto"/>
      </w:pPr>
      <w:r w:rsidRPr="00EC2A86">
        <w:t>Preparação dos dados</w:t>
      </w:r>
      <w:r w:rsidRPr="00EC2A86">
        <w:pict w14:anchorId="690D46CD">
          <v:rect id="_x0000_i1027" style="width:0;height:1.5pt" o:hralign="center" o:hrstd="t" o:hr="t" fillcolor="gray" stroked="f"/>
        </w:pict>
      </w:r>
    </w:p>
    <w:p w14:paraId="7747C57A" w14:textId="77777777" w:rsidR="006957B9" w:rsidRPr="00EC2A86" w:rsidRDefault="00DE5F59">
      <w:pPr>
        <w:spacing w:before="240" w:line="240" w:lineRule="auto"/>
        <w:ind w:firstLine="708"/>
        <w:jc w:val="both"/>
        <w:rPr>
          <w:rFonts w:ascii="Arial" w:hAnsi="Arial" w:cs="Arial"/>
        </w:rPr>
      </w:pPr>
      <w:r w:rsidRPr="00EC2A86">
        <w:rPr>
          <w:rFonts w:ascii="Arial" w:hAnsi="Arial" w:cs="Arial"/>
        </w:rPr>
        <w:t>As alterações realizadas na base, com as respectivas justificativas, foram as seguintes:</w:t>
      </w:r>
    </w:p>
    <w:p w14:paraId="176FCED0" w14:textId="77777777" w:rsidR="006957B9" w:rsidRPr="00EC2A86" w:rsidRDefault="00DE5F59">
      <w:pPr>
        <w:pStyle w:val="PargrafodaLista"/>
        <w:numPr>
          <w:ilvl w:val="0"/>
          <w:numId w:val="5"/>
        </w:numPr>
        <w:spacing w:before="120" w:line="240" w:lineRule="auto"/>
        <w:jc w:val="both"/>
        <w:rPr>
          <w:rFonts w:ascii="Arial" w:hAnsi="Arial" w:cs="Arial"/>
        </w:rPr>
      </w:pPr>
      <w:r w:rsidRPr="00EC2A86">
        <w:rPr>
          <w:rFonts w:ascii="Arial" w:hAnsi="Arial" w:cs="Arial"/>
          <w:b/>
          <w:bCs/>
        </w:rPr>
        <w:t>Remoção de 12 registros duplicados</w:t>
      </w:r>
      <w:r w:rsidRPr="00EC2A86">
        <w:rPr>
          <w:rFonts w:ascii="Arial" w:hAnsi="Arial" w:cs="Arial"/>
        </w:rPr>
        <w:t>, para evitar que o mesmo registro apareça no treino e no teste. Restaram 41.176 registros.</w:t>
      </w:r>
    </w:p>
    <w:p w14:paraId="375DADD9" w14:textId="77777777" w:rsidR="006957B9" w:rsidRPr="00EC2A86" w:rsidRDefault="00DE5F59">
      <w:pPr>
        <w:pStyle w:val="PargrafodaLista"/>
        <w:numPr>
          <w:ilvl w:val="0"/>
          <w:numId w:val="5"/>
        </w:numPr>
        <w:spacing w:before="120" w:line="240" w:lineRule="auto"/>
        <w:jc w:val="both"/>
        <w:rPr>
          <w:rFonts w:ascii="Arial" w:hAnsi="Arial" w:cs="Arial"/>
        </w:rPr>
      </w:pPr>
      <w:r w:rsidRPr="00EC2A86">
        <w:rPr>
          <w:rFonts w:ascii="Arial" w:hAnsi="Arial" w:cs="Arial"/>
          <w:b/>
          <w:bCs/>
        </w:rPr>
        <w:t>Recodificação do alvo</w:t>
      </w:r>
      <w:r w:rsidRPr="00EC2A86">
        <w:rPr>
          <w:rFonts w:ascii="Arial" w:hAnsi="Arial" w:cs="Arial"/>
        </w:rPr>
        <w:t xml:space="preserve"> para 0/1, com “sim” igual a 1.</w:t>
      </w:r>
    </w:p>
    <w:p w14:paraId="1FE31EB9" w14:textId="77777777" w:rsidR="006957B9" w:rsidRPr="00EC2A86" w:rsidRDefault="00DE5F59">
      <w:pPr>
        <w:pStyle w:val="PargrafodaLista"/>
        <w:numPr>
          <w:ilvl w:val="0"/>
          <w:numId w:val="5"/>
        </w:numPr>
        <w:spacing w:before="120" w:line="240" w:lineRule="auto"/>
        <w:jc w:val="both"/>
        <w:rPr>
          <w:rFonts w:ascii="Arial" w:hAnsi="Arial" w:cs="Arial"/>
        </w:rPr>
      </w:pPr>
      <w:r w:rsidRPr="00EC2A86">
        <w:rPr>
          <w:rFonts w:ascii="Arial" w:hAnsi="Arial" w:cs="Arial"/>
          <w:b/>
          <w:bCs/>
        </w:rPr>
        <w:t xml:space="preserve">Criação do atributo </w:t>
      </w:r>
      <w:r w:rsidRPr="00EC2A86">
        <w:rPr>
          <w:rFonts w:ascii="Arial" w:hAnsi="Arial" w:cs="Arial"/>
          <w:b/>
          <w:bCs/>
        </w:rPr>
        <w:t>foi_contatado_antes</w:t>
      </w:r>
      <w:r w:rsidRPr="00EC2A86">
        <w:rPr>
          <w:rFonts w:ascii="Arial" w:hAnsi="Arial" w:cs="Arial"/>
        </w:rPr>
        <w:t>, binário, que preserva a informação contida no código 999.</w:t>
      </w:r>
    </w:p>
    <w:p w14:paraId="671E5E38" w14:textId="77777777" w:rsidR="006957B9" w:rsidRPr="00EC2A86" w:rsidRDefault="00DE5F59">
      <w:pPr>
        <w:pStyle w:val="PargrafodaLista"/>
        <w:numPr>
          <w:ilvl w:val="0"/>
          <w:numId w:val="5"/>
        </w:numPr>
        <w:spacing w:before="120" w:line="240" w:lineRule="auto"/>
        <w:jc w:val="both"/>
        <w:rPr>
          <w:rFonts w:ascii="Arial" w:hAnsi="Arial" w:cs="Arial"/>
        </w:rPr>
      </w:pPr>
      <w:r w:rsidRPr="00EC2A86">
        <w:rPr>
          <w:rFonts w:ascii="Arial" w:hAnsi="Arial" w:cs="Arial"/>
          <w:b/>
          <w:bCs/>
        </w:rPr>
        <w:t>Substituição</w:t>
      </w:r>
      <w:r w:rsidRPr="00EC2A86">
        <w:rPr>
          <w:rFonts w:ascii="Arial" w:hAnsi="Arial" w:cs="Arial"/>
          <w:b/>
          <w:bCs/>
        </w:rPr>
        <w:t xml:space="preserve"> do 999 por valor ausente</w:t>
      </w:r>
      <w:r w:rsidRPr="00EC2A86">
        <w:rPr>
          <w:rFonts w:ascii="Arial" w:hAnsi="Arial" w:cs="Arial"/>
        </w:rPr>
        <w:t xml:space="preserve"> em </w:t>
      </w:r>
      <w:r w:rsidRPr="00EC2A86">
        <w:rPr>
          <w:rFonts w:ascii="Arial" w:hAnsi="Arial" w:cs="Arial"/>
        </w:rPr>
        <w:t>dias_desde_ultimo_contato</w:t>
      </w:r>
      <w:r w:rsidRPr="00EC2A86">
        <w:rPr>
          <w:rFonts w:ascii="Arial" w:hAnsi="Arial" w:cs="Arial"/>
        </w:rPr>
        <w:t>. Mantido como número, o 999 distorceria as distâncias do k-NN. O valor ausente é depois imputado pela mediana.</w:t>
      </w:r>
    </w:p>
    <w:p w14:paraId="13118155" w14:textId="77777777" w:rsidR="006957B9" w:rsidRPr="00EC2A86" w:rsidRDefault="00DE5F59">
      <w:pPr>
        <w:pStyle w:val="PargrafodaLista"/>
        <w:numPr>
          <w:ilvl w:val="0"/>
          <w:numId w:val="5"/>
        </w:numPr>
        <w:spacing w:before="120" w:line="240" w:lineRule="auto"/>
        <w:jc w:val="both"/>
        <w:rPr>
          <w:rFonts w:ascii="Arial" w:hAnsi="Arial" w:cs="Arial"/>
        </w:rPr>
      </w:pPr>
      <w:r w:rsidRPr="00EC2A86">
        <w:rPr>
          <w:rFonts w:ascii="Arial" w:hAnsi="Arial" w:cs="Arial"/>
          <w:b/>
          <w:bCs/>
        </w:rPr>
        <w:t>Manutenção da categoria “desconhecido”</w:t>
      </w:r>
      <w:r w:rsidRPr="00EC2A86">
        <w:rPr>
          <w:rFonts w:ascii="Arial" w:hAnsi="Arial" w:cs="Arial"/>
        </w:rPr>
        <w:t xml:space="preserve"> como categoria própria. A ausência do dado também é</w:t>
      </w:r>
      <w:r w:rsidRPr="00EC2A86">
        <w:rPr>
          <w:rFonts w:ascii="Arial" w:hAnsi="Arial" w:cs="Arial"/>
        </w:rPr>
        <w:t xml:space="preserve"> informativa, e excluir essas linhas eliminaria mais de 20% da base.</w:t>
      </w:r>
    </w:p>
    <w:p w14:paraId="219B5E71" w14:textId="77777777" w:rsidR="006957B9" w:rsidRPr="00EC2A86" w:rsidRDefault="00DE5F59">
      <w:pPr>
        <w:pStyle w:val="PargrafodaLista"/>
        <w:numPr>
          <w:ilvl w:val="0"/>
          <w:numId w:val="5"/>
        </w:numPr>
        <w:spacing w:before="120" w:line="240" w:lineRule="auto"/>
        <w:jc w:val="both"/>
        <w:rPr>
          <w:rFonts w:ascii="Arial" w:hAnsi="Arial" w:cs="Arial"/>
        </w:rPr>
      </w:pPr>
      <w:r w:rsidRPr="00EC2A86">
        <w:rPr>
          <w:rFonts w:ascii="Arial" w:hAnsi="Arial" w:cs="Arial"/>
          <w:b/>
          <w:bCs/>
        </w:rPr>
        <w:t>Padronização dos atributos numéricos</w:t>
      </w:r>
      <w:r w:rsidRPr="00EC2A86">
        <w:rPr>
          <w:rFonts w:ascii="Arial" w:hAnsi="Arial" w:cs="Arial"/>
        </w:rPr>
        <w:t xml:space="preserve"> (média zero e desvio-padrão um), indispensável para o k-NN, que se baseia em distâncias.</w:t>
      </w:r>
    </w:p>
    <w:p w14:paraId="6082D03E" w14:textId="77777777" w:rsidR="006957B9" w:rsidRPr="00EC2A86" w:rsidRDefault="00DE5F59">
      <w:pPr>
        <w:pStyle w:val="PargrafodaLista"/>
        <w:numPr>
          <w:ilvl w:val="0"/>
          <w:numId w:val="5"/>
        </w:numPr>
        <w:spacing w:before="120" w:line="240" w:lineRule="auto"/>
        <w:jc w:val="both"/>
        <w:rPr>
          <w:rFonts w:ascii="Arial" w:hAnsi="Arial" w:cs="Arial"/>
        </w:rPr>
      </w:pPr>
      <w:r w:rsidRPr="00EC2A86">
        <w:rPr>
          <w:rFonts w:ascii="Arial" w:hAnsi="Arial" w:cs="Arial"/>
          <w:b/>
          <w:bCs/>
        </w:rPr>
        <w:t>Codificação one-hot dos atributos categóricos</w:t>
      </w:r>
      <w:r w:rsidRPr="00EC2A86">
        <w:rPr>
          <w:rFonts w:ascii="Arial" w:hAnsi="Arial" w:cs="Arial"/>
        </w:rPr>
        <w:t>, para que possa</w:t>
      </w:r>
      <w:r w:rsidRPr="00EC2A86">
        <w:rPr>
          <w:rFonts w:ascii="Arial" w:hAnsi="Arial" w:cs="Arial"/>
        </w:rPr>
        <w:t>m ser utilizados pelos três algoritmos.</w:t>
      </w:r>
    </w:p>
    <w:p w14:paraId="157BC766" w14:textId="0FA36531" w:rsidR="006957B9" w:rsidRPr="00EC2A86" w:rsidRDefault="00DE5F59">
      <w:pPr>
        <w:spacing w:before="240" w:line="240" w:lineRule="auto"/>
        <w:ind w:firstLine="708"/>
        <w:jc w:val="both"/>
        <w:rPr>
          <w:rFonts w:ascii="Arial" w:hAnsi="Arial" w:cs="Arial"/>
        </w:rPr>
      </w:pPr>
      <w:r w:rsidRPr="00EC2A86">
        <w:rPr>
          <w:rFonts w:ascii="Arial" w:hAnsi="Arial" w:cs="Arial"/>
        </w:rPr>
        <w:t>Os dados foram divididos em treino (70%</w:t>
      </w:r>
      <w:r w:rsidRPr="00EC2A86">
        <w:rPr>
          <w:rFonts w:ascii="Arial" w:hAnsi="Arial" w:cs="Arial"/>
        </w:rPr>
        <w:t>) e teste (30%</w:t>
      </w:r>
      <w:r w:rsidRPr="00EC2A86">
        <w:rPr>
          <w:rFonts w:ascii="Arial" w:hAnsi="Arial" w:cs="Arial"/>
        </w:rPr>
        <w:t xml:space="preserve">), com estratificação pelo alvo e </w:t>
      </w:r>
      <w:r w:rsidRPr="00EC2A86">
        <w:rPr>
          <w:rFonts w:ascii="Arial" w:hAnsi="Arial" w:cs="Arial"/>
        </w:rPr>
        <w:t>random_state=42</w:t>
      </w:r>
      <w:r w:rsidRPr="00EC2A86">
        <w:rPr>
          <w:rFonts w:ascii="Arial" w:hAnsi="Arial" w:cs="Arial"/>
        </w:rPr>
        <w:t>. Imputação, padronização e codificação foram implementadas</w:t>
      </w:r>
      <w:r w:rsidRPr="00EC2A86">
        <w:rPr>
          <w:rFonts w:ascii="Arial" w:hAnsi="Arial" w:cs="Arial"/>
        </w:rPr>
        <w:t xml:space="preserve"> </w:t>
      </w:r>
      <w:r w:rsidRPr="00EC2A86">
        <w:rPr>
          <w:rFonts w:ascii="Arial" w:hAnsi="Arial" w:cs="Arial"/>
        </w:rPr>
        <w:lastRenderedPageBreak/>
        <w:t xml:space="preserve">em um </w:t>
      </w:r>
      <w:r w:rsidRPr="00EC2A86">
        <w:rPr>
          <w:rFonts w:ascii="Arial" w:hAnsi="Arial" w:cs="Arial"/>
        </w:rPr>
        <w:t>Pipeline</w:t>
      </w:r>
      <w:r w:rsidRPr="00EC2A86">
        <w:rPr>
          <w:rFonts w:ascii="Arial" w:hAnsi="Arial" w:cs="Arial"/>
        </w:rPr>
        <w:t xml:space="preserve"> do scikit-learn, de modo que medianas, médias e desvios são calculados apenas com os dados de treino de cada ajuste. Assim, não há vazamento de informação do teste nem das partições de validação, e a mesma preparação é aplicada aos três classificadores.</w:t>
      </w:r>
    </w:p>
    <w:p w14:paraId="489D449C" w14:textId="77777777" w:rsidR="006957B9" w:rsidRPr="00EC2A86" w:rsidRDefault="00DE5F59">
      <w:pPr>
        <w:keepNext/>
        <w:spacing w:before="240" w:line="240" w:lineRule="auto"/>
        <w:jc w:val="both"/>
        <w:rPr>
          <w:rFonts w:ascii="Arial" w:hAnsi="Arial" w:cs="Arial"/>
        </w:rPr>
      </w:pPr>
      <w:r w:rsidRPr="00EC2A86">
        <w:rPr>
          <w:rFonts w:ascii="Arial" w:hAnsi="Arial" w:cs="Arial"/>
          <w:b/>
          <w:bCs/>
        </w:rPr>
        <w:t>C</w:t>
      </w:r>
      <w:r w:rsidRPr="00EC2A86">
        <w:rPr>
          <w:rFonts w:ascii="Arial" w:hAnsi="Arial" w:cs="Arial"/>
          <w:b/>
          <w:bCs/>
        </w:rPr>
        <w:t>enários de avaliação</w:t>
      </w:r>
    </w:p>
    <w:p w14:paraId="545DE31F" w14:textId="77777777" w:rsidR="006957B9" w:rsidRPr="00EC2A86" w:rsidRDefault="00DE5F59">
      <w:pPr>
        <w:spacing w:before="240" w:line="240" w:lineRule="auto"/>
        <w:ind w:firstLine="708"/>
        <w:jc w:val="both"/>
        <w:rPr>
          <w:rFonts w:ascii="Arial" w:hAnsi="Arial" w:cs="Arial"/>
        </w:rPr>
      </w:pPr>
      <w:r w:rsidRPr="00EC2A86">
        <w:rPr>
          <w:rFonts w:ascii="Arial" w:hAnsi="Arial" w:cs="Arial"/>
        </w:rPr>
        <w:t xml:space="preserve">No </w:t>
      </w:r>
      <w:r w:rsidRPr="00DE5F59">
        <w:rPr>
          <w:rFonts w:ascii="Arial" w:hAnsi="Arial" w:cs="Arial"/>
          <w:bCs/>
        </w:rPr>
        <w:t>cenário principal</w:t>
      </w:r>
      <w:r w:rsidRPr="00EC2A86">
        <w:rPr>
          <w:rFonts w:ascii="Arial" w:hAnsi="Arial" w:cs="Arial"/>
        </w:rPr>
        <w:t xml:space="preserve"> foram mantidos apenas os atributos disponíveis antes de o banco decidir para quem ligar (19 atributos). Foram excluídos </w:t>
      </w:r>
      <w:r w:rsidRPr="00EC2A86">
        <w:rPr>
          <w:rFonts w:ascii="Arial" w:hAnsi="Arial" w:cs="Arial"/>
        </w:rPr>
        <w:t>duracao_ligacao_seg</w:t>
      </w:r>
      <w:r w:rsidRPr="00EC2A86">
        <w:rPr>
          <w:rFonts w:ascii="Arial" w:hAnsi="Arial" w:cs="Arial"/>
        </w:rPr>
        <w:t xml:space="preserve">, conhecida somente depois que a ligação termina, e </w:t>
      </w:r>
      <w:r w:rsidRPr="00EC2A86">
        <w:rPr>
          <w:rFonts w:ascii="Arial" w:hAnsi="Arial" w:cs="Arial"/>
        </w:rPr>
        <w:t>contatos_campanha_atual</w:t>
      </w:r>
      <w:r w:rsidRPr="00EC2A86">
        <w:rPr>
          <w:rFonts w:ascii="Arial" w:hAnsi="Arial" w:cs="Arial"/>
        </w:rPr>
        <w:t xml:space="preserve">, que inclui o contato ainda a ser feito. Se fossem mantidos, o modelo usaria informação que não existe no momento da decisão: o desempenho medido seria superestimado e o modelo não poderia ser aplicado. O </w:t>
      </w:r>
      <w:r w:rsidRPr="00DE5F59">
        <w:rPr>
          <w:rFonts w:ascii="Arial" w:hAnsi="Arial" w:cs="Arial"/>
          <w:bCs/>
        </w:rPr>
        <w:t>cenário completo</w:t>
      </w:r>
      <w:r w:rsidRPr="00EC2A86">
        <w:rPr>
          <w:rFonts w:ascii="Arial" w:hAnsi="Arial" w:cs="Arial"/>
        </w:rPr>
        <w:t xml:space="preserve"> utiliza os 21 atributos, apenas p</w:t>
      </w:r>
      <w:r w:rsidRPr="00EC2A86">
        <w:rPr>
          <w:rFonts w:ascii="Arial" w:hAnsi="Arial" w:cs="Arial"/>
        </w:rPr>
        <w:t>ara comparação.</w:t>
      </w:r>
    </w:p>
    <w:p w14:paraId="30DEFCEC" w14:textId="1A96F1D5" w:rsidR="006957B9" w:rsidRPr="00EC2A86" w:rsidRDefault="00DE5F59">
      <w:pPr>
        <w:pStyle w:val="Ttulo2"/>
        <w:spacing w:before="240" w:line="240" w:lineRule="auto"/>
      </w:pPr>
      <w:r w:rsidRPr="00EC2A86">
        <w:t>Modelagem</w:t>
      </w:r>
      <w:r w:rsidRPr="00EC2A86">
        <w:pict w14:anchorId="7486AB8F">
          <v:rect id="_x0000_i1028" style="width:0;height:1.5pt" o:hralign="center" o:hrstd="t" o:hr="t" fillcolor="gray" stroked="f"/>
        </w:pict>
      </w:r>
    </w:p>
    <w:p w14:paraId="0FBEDB8B" w14:textId="77777777" w:rsidR="006957B9" w:rsidRPr="00EC2A86" w:rsidRDefault="00DE5F59">
      <w:pPr>
        <w:spacing w:before="240" w:line="240" w:lineRule="auto"/>
        <w:ind w:firstLine="708"/>
        <w:jc w:val="both"/>
        <w:rPr>
          <w:rFonts w:ascii="Arial" w:hAnsi="Arial" w:cs="Arial"/>
        </w:rPr>
      </w:pPr>
      <w:r w:rsidRPr="00EC2A86">
        <w:rPr>
          <w:rFonts w:ascii="Arial" w:hAnsi="Arial" w:cs="Arial"/>
        </w:rPr>
        <w:t>A escolha dos hiperparâmetros foi feita por validação cruzada com 5 partições, usando o F1 da classe positiva como critério, sobre uma amostra estratificada de 8.000 registros do conjunto de treino. O conjunto de teste não participou de nenhuma etapa de aj</w:t>
      </w:r>
      <w:r w:rsidRPr="00EC2A86">
        <w:rPr>
          <w:rFonts w:ascii="Arial" w:hAnsi="Arial" w:cs="Arial"/>
        </w:rPr>
        <w:t>uste ou escolha. Os modelos finais foram treinados sobre o conjunto de treino completo.</w:t>
      </w:r>
    </w:p>
    <w:p w14:paraId="27F92A74" w14:textId="77777777" w:rsidR="006957B9" w:rsidRPr="00EC2A86" w:rsidRDefault="00DE5F59">
      <w:pPr>
        <w:spacing w:before="240" w:line="240" w:lineRule="auto"/>
        <w:ind w:firstLine="708"/>
        <w:jc w:val="both"/>
        <w:rPr>
          <w:rFonts w:ascii="Arial" w:hAnsi="Arial" w:cs="Arial"/>
        </w:rPr>
      </w:pPr>
      <w:r w:rsidRPr="00EC2A86">
        <w:rPr>
          <w:rFonts w:ascii="Arial" w:hAnsi="Arial" w:cs="Arial"/>
          <w:b/>
          <w:bCs/>
        </w:rPr>
        <w:t xml:space="preserve">k-NN. </w:t>
      </w:r>
      <w:r w:rsidRPr="00EC2A86">
        <w:rPr>
          <w:rFonts w:ascii="Arial" w:hAnsi="Arial" w:cs="Arial"/>
        </w:rPr>
        <w:t>Foram testados os valores de k iguais a 1, 3, 5, 7, 9, 11, 15, 21, 31 e 51. O melhor foi k = 15 no cenário principal (F1 de 0,354 na validação) e k = 3 no cenário</w:t>
      </w:r>
      <w:r w:rsidRPr="00EC2A86">
        <w:rPr>
          <w:rFonts w:ascii="Arial" w:hAnsi="Arial" w:cs="Arial"/>
        </w:rPr>
        <w:t xml:space="preserve"> completo (0,464).</w:t>
      </w:r>
    </w:p>
    <w:p w14:paraId="1CDE7E82" w14:textId="77777777" w:rsidR="006957B9" w:rsidRPr="00EC2A86" w:rsidRDefault="00DE5F59">
      <w:pPr>
        <w:spacing w:before="240" w:line="240" w:lineRule="auto"/>
        <w:ind w:firstLine="708"/>
        <w:jc w:val="both"/>
        <w:rPr>
          <w:rFonts w:ascii="Arial" w:hAnsi="Arial" w:cs="Arial"/>
        </w:rPr>
      </w:pPr>
      <w:r w:rsidRPr="00EC2A86">
        <w:rPr>
          <w:rFonts w:ascii="Arial" w:hAnsi="Arial" w:cs="Arial"/>
          <w:b/>
          <w:bCs/>
        </w:rPr>
        <w:t xml:space="preserve">Naive Bayes. </w:t>
      </w:r>
      <w:r w:rsidRPr="00EC2A86">
        <w:rPr>
          <w:rFonts w:ascii="Arial" w:hAnsi="Arial" w:cs="Arial"/>
        </w:rPr>
        <w:t xml:space="preserve">Após a preparação, a base combina atributos numéricos padronizados e atributos binários. Foram comparadas duas variantes sobre a mesma preparação. A </w:t>
      </w:r>
      <w:r w:rsidRPr="00EC2A86">
        <w:rPr>
          <w:rFonts w:ascii="Arial" w:hAnsi="Arial" w:cs="Arial"/>
        </w:rPr>
        <w:t>GaussianNB</w:t>
      </w:r>
      <w:r w:rsidRPr="00EC2A86">
        <w:rPr>
          <w:rFonts w:ascii="Arial" w:hAnsi="Arial" w:cs="Arial"/>
        </w:rPr>
        <w:t xml:space="preserve"> supõe distribuição normal para cada atributo, hipótese adequada </w:t>
      </w:r>
      <w:r w:rsidRPr="00EC2A86">
        <w:rPr>
          <w:rFonts w:ascii="Arial" w:hAnsi="Arial" w:cs="Arial"/>
        </w:rPr>
        <w:t xml:space="preserve">aos numéricos e aproximada para os binários. A </w:t>
      </w:r>
      <w:r w:rsidRPr="00EC2A86">
        <w:rPr>
          <w:rFonts w:ascii="Arial" w:hAnsi="Arial" w:cs="Arial"/>
        </w:rPr>
        <w:t>BernoulliNB</w:t>
      </w:r>
      <w:r w:rsidRPr="00EC2A86">
        <w:rPr>
          <w:rFonts w:ascii="Arial" w:hAnsi="Arial" w:cs="Arial"/>
        </w:rPr>
        <w:t xml:space="preserve"> é adequada aos binários, mas reduz cada atributo numérico a “acima ou abaixo da média”, o que descarta informação. A </w:t>
      </w:r>
      <w:r w:rsidRPr="00EC2A86">
        <w:rPr>
          <w:rFonts w:ascii="Arial" w:hAnsi="Arial" w:cs="Arial"/>
        </w:rPr>
        <w:t>CategoricalNB</w:t>
      </w:r>
      <w:r w:rsidRPr="00EC2A86">
        <w:rPr>
          <w:rFonts w:ascii="Arial" w:hAnsi="Arial" w:cs="Arial"/>
        </w:rPr>
        <w:t xml:space="preserve"> foi descartada por exigir outra preparação (discretização dos numé</w:t>
      </w:r>
      <w:r w:rsidRPr="00EC2A86">
        <w:rPr>
          <w:rFonts w:ascii="Arial" w:hAnsi="Arial" w:cs="Arial"/>
        </w:rPr>
        <w:t xml:space="preserve">ricos), o que violaria a exigência de preparação comum. A </w:t>
      </w:r>
      <w:r w:rsidRPr="00EC2A86">
        <w:rPr>
          <w:rFonts w:ascii="Arial" w:hAnsi="Arial" w:cs="Arial"/>
        </w:rPr>
        <w:t>GaussianNB</w:t>
      </w:r>
      <w:r w:rsidRPr="00EC2A86">
        <w:rPr>
          <w:rFonts w:ascii="Arial" w:hAnsi="Arial" w:cs="Arial"/>
        </w:rPr>
        <w:t xml:space="preserve"> obteve F1 superior na validação cruzada nos dois cenários (0,410 contra 0,400 no principal; 0,450 contra 0,434 no completo) e foi a variante adotada, com os parâmetros padrão.</w:t>
      </w:r>
    </w:p>
    <w:p w14:paraId="2CB9AB2F" w14:textId="2A3DFFA1" w:rsidR="006957B9" w:rsidRPr="00EC2A86" w:rsidRDefault="00DE5F59" w:rsidP="00EC2A86">
      <w:pPr>
        <w:spacing w:before="240" w:line="240" w:lineRule="auto"/>
        <w:ind w:firstLine="708"/>
        <w:jc w:val="both"/>
        <w:rPr>
          <w:rFonts w:ascii="Arial" w:hAnsi="Arial" w:cs="Arial"/>
        </w:rPr>
      </w:pPr>
      <w:r w:rsidRPr="00EC2A86">
        <w:rPr>
          <w:rFonts w:ascii="Arial" w:hAnsi="Arial" w:cs="Arial"/>
          <w:b/>
          <w:bCs/>
        </w:rPr>
        <w:t>Regressão l</w:t>
      </w:r>
      <w:r w:rsidRPr="00EC2A86">
        <w:rPr>
          <w:rFonts w:ascii="Arial" w:hAnsi="Arial" w:cs="Arial"/>
          <w:b/>
          <w:bCs/>
        </w:rPr>
        <w:t xml:space="preserve">ogística. </w:t>
      </w:r>
      <w:r w:rsidRPr="00EC2A86">
        <w:rPr>
          <w:rFonts w:ascii="Arial" w:hAnsi="Arial" w:cs="Arial"/>
        </w:rPr>
        <w:t xml:space="preserve">Foram testados sete valores de C, em potências de dez, entre 0,001 e 1000. O melhor foi C = 1000 nos dois cenários, o que corresponde a quase nenhuma regularização. Como esse valor está no limite superior da grade, a busca não delimitou um ponto </w:t>
      </w:r>
      <w:r w:rsidRPr="00EC2A86">
        <w:rPr>
          <w:rFonts w:ascii="Arial" w:hAnsi="Arial" w:cs="Arial"/>
        </w:rPr>
        <w:t>ótimo. Isso, porém, tem pouco efeito sobre o desempenho: o F1 da validação cruzada cresce de 0,239 (C = 0,001) para 0,345 (C = 1) e, a partir daí, praticamente se estabiliza, chegando a 0,351 com C = 1000 no cenário principal; no cenário completo, vai de 0</w:t>
      </w:r>
      <w:r w:rsidRPr="00EC2A86">
        <w:rPr>
          <w:rFonts w:ascii="Arial" w:hAnsi="Arial" w:cs="Arial"/>
        </w:rPr>
        <w:t>,509 a 0,510. A conclusão é que o modelo quase não se beneficia de regularização nesta base, o que é coerente com o grande número de registros em relação ao de atributos.</w:t>
      </w:r>
    </w:p>
    <w:tbl>
      <w:tblPr>
        <w:tblStyle w:val="TabeladeGradeClara"/>
        <w:tblW w:w="8504" w:type="dxa"/>
        <w:jc w:val="center"/>
        <w:tblLayout w:type="fixed"/>
        <w:tblLook w:val="04A0" w:firstRow="1" w:lastRow="0" w:firstColumn="1" w:lastColumn="0" w:noHBand="0" w:noVBand="1"/>
      </w:tblPr>
      <w:tblGrid>
        <w:gridCol w:w="2449"/>
        <w:gridCol w:w="3027"/>
        <w:gridCol w:w="3028"/>
      </w:tblGrid>
      <w:tr w:rsidR="006957B9" w:rsidRPr="00EC2A86" w14:paraId="18E186D7" w14:textId="77777777">
        <w:trPr>
          <w:cantSplit/>
          <w:tblHeader/>
          <w:jc w:val="center"/>
        </w:trPr>
        <w:tc>
          <w:tcPr>
            <w:tcW w:w="2449" w:type="dxa"/>
            <w:shd w:val="clear" w:color="auto" w:fill="FFCCCC"/>
          </w:tcPr>
          <w:p w14:paraId="69E8FAEB" w14:textId="77777777" w:rsidR="006957B9" w:rsidRPr="00EC2A86" w:rsidRDefault="00DE5F59">
            <w:pPr>
              <w:keepNext/>
              <w:spacing w:before="40" w:after="40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Modelo</w:t>
            </w:r>
          </w:p>
        </w:tc>
        <w:tc>
          <w:tcPr>
            <w:tcW w:w="3027" w:type="dxa"/>
            <w:shd w:val="clear" w:color="auto" w:fill="FFCCCC"/>
          </w:tcPr>
          <w:p w14:paraId="29EF0933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b/>
                <w:bCs/>
                <w:sz w:val="18"/>
                <w:szCs w:val="18"/>
              </w:rPr>
              <w:t>Cenário principal</w:t>
            </w:r>
          </w:p>
        </w:tc>
        <w:tc>
          <w:tcPr>
            <w:tcW w:w="3028" w:type="dxa"/>
            <w:shd w:val="clear" w:color="auto" w:fill="FFCCCC"/>
          </w:tcPr>
          <w:p w14:paraId="5240BEB8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b/>
                <w:bCs/>
                <w:sz w:val="18"/>
                <w:szCs w:val="18"/>
              </w:rPr>
              <w:t>Cenário completo</w:t>
            </w:r>
          </w:p>
        </w:tc>
      </w:tr>
      <w:tr w:rsidR="006957B9" w:rsidRPr="00EC2A86" w14:paraId="31E9A6D4" w14:textId="77777777">
        <w:trPr>
          <w:cantSplit/>
          <w:jc w:val="center"/>
        </w:trPr>
        <w:tc>
          <w:tcPr>
            <w:tcW w:w="2449" w:type="dxa"/>
          </w:tcPr>
          <w:p w14:paraId="1EFEB276" w14:textId="77777777" w:rsidR="006957B9" w:rsidRPr="00EC2A86" w:rsidRDefault="00DE5F59">
            <w:pPr>
              <w:keepNext/>
              <w:spacing w:before="40" w:after="40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8"/>
                <w:szCs w:val="18"/>
              </w:rPr>
              <w:t>k-NN</w:t>
            </w:r>
          </w:p>
        </w:tc>
        <w:tc>
          <w:tcPr>
            <w:tcW w:w="3027" w:type="dxa"/>
          </w:tcPr>
          <w:p w14:paraId="2C110FDE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8"/>
                <w:szCs w:val="18"/>
              </w:rPr>
              <w:t>k = 15</w:t>
            </w:r>
          </w:p>
        </w:tc>
        <w:tc>
          <w:tcPr>
            <w:tcW w:w="3028" w:type="dxa"/>
          </w:tcPr>
          <w:p w14:paraId="259A7790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8"/>
                <w:szCs w:val="18"/>
              </w:rPr>
              <w:t>k = 3</w:t>
            </w:r>
          </w:p>
        </w:tc>
      </w:tr>
      <w:tr w:rsidR="006957B9" w:rsidRPr="00EC2A86" w14:paraId="7611C3D6" w14:textId="77777777">
        <w:trPr>
          <w:cantSplit/>
          <w:jc w:val="center"/>
        </w:trPr>
        <w:tc>
          <w:tcPr>
            <w:tcW w:w="2449" w:type="dxa"/>
          </w:tcPr>
          <w:p w14:paraId="6BB1F2D9" w14:textId="77777777" w:rsidR="006957B9" w:rsidRPr="00EC2A86" w:rsidRDefault="00DE5F59">
            <w:pPr>
              <w:keepNext/>
              <w:spacing w:before="40" w:after="40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8"/>
                <w:szCs w:val="18"/>
              </w:rPr>
              <w:t>Naive Bayes</w:t>
            </w:r>
          </w:p>
        </w:tc>
        <w:tc>
          <w:tcPr>
            <w:tcW w:w="3027" w:type="dxa"/>
          </w:tcPr>
          <w:p w14:paraId="24BE54E3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8"/>
                <w:szCs w:val="18"/>
              </w:rPr>
              <w:t>GaussianNB</w:t>
            </w:r>
          </w:p>
        </w:tc>
        <w:tc>
          <w:tcPr>
            <w:tcW w:w="3028" w:type="dxa"/>
          </w:tcPr>
          <w:p w14:paraId="34CB4B3A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8"/>
                <w:szCs w:val="18"/>
              </w:rPr>
              <w:t>GaussianNB</w:t>
            </w:r>
          </w:p>
        </w:tc>
      </w:tr>
      <w:tr w:rsidR="006957B9" w:rsidRPr="00EC2A86" w14:paraId="0C1929ED" w14:textId="77777777">
        <w:trPr>
          <w:cantSplit/>
          <w:jc w:val="center"/>
        </w:trPr>
        <w:tc>
          <w:tcPr>
            <w:tcW w:w="2449" w:type="dxa"/>
          </w:tcPr>
          <w:p w14:paraId="2292EBCB" w14:textId="77777777" w:rsidR="006957B9" w:rsidRPr="00EC2A86" w:rsidRDefault="00DE5F59">
            <w:pPr>
              <w:keepNext/>
              <w:spacing w:before="40" w:after="40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8"/>
                <w:szCs w:val="18"/>
              </w:rPr>
              <w:t>Regressão logística</w:t>
            </w:r>
          </w:p>
        </w:tc>
        <w:tc>
          <w:tcPr>
            <w:tcW w:w="3027" w:type="dxa"/>
          </w:tcPr>
          <w:p w14:paraId="796C98BE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8"/>
                <w:szCs w:val="18"/>
              </w:rPr>
              <w:t>C = 1000</w:t>
            </w:r>
          </w:p>
        </w:tc>
        <w:tc>
          <w:tcPr>
            <w:tcW w:w="3028" w:type="dxa"/>
          </w:tcPr>
          <w:p w14:paraId="562CB499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8"/>
                <w:szCs w:val="18"/>
              </w:rPr>
              <w:t>C = 1000</w:t>
            </w:r>
          </w:p>
        </w:tc>
      </w:tr>
    </w:tbl>
    <w:p w14:paraId="3C6A227E" w14:textId="77777777" w:rsidR="006957B9" w:rsidRPr="00EC2A86" w:rsidRDefault="00DE5F59">
      <w:pPr>
        <w:keepNext/>
        <w:spacing w:before="240" w:line="240" w:lineRule="auto"/>
        <w:jc w:val="both"/>
        <w:rPr>
          <w:rFonts w:ascii="Arial" w:hAnsi="Arial" w:cs="Arial"/>
        </w:rPr>
      </w:pPr>
      <w:r w:rsidRPr="00EC2A86">
        <w:rPr>
          <w:rFonts w:ascii="Arial" w:hAnsi="Arial" w:cs="Arial"/>
          <w:b/>
          <w:bCs/>
        </w:rPr>
        <w:t>Coeficientes da regressão logística</w:t>
      </w:r>
    </w:p>
    <w:p w14:paraId="54A530A7" w14:textId="68A0D89A" w:rsidR="006957B9" w:rsidRPr="00EC2A86" w:rsidRDefault="00DE5F59" w:rsidP="00EC2A86">
      <w:pPr>
        <w:spacing w:before="240" w:line="240" w:lineRule="auto"/>
        <w:ind w:firstLine="708"/>
        <w:jc w:val="both"/>
        <w:rPr>
          <w:rFonts w:ascii="Arial" w:hAnsi="Arial" w:cs="Arial"/>
        </w:rPr>
      </w:pPr>
      <w:r w:rsidRPr="00EC2A86">
        <w:rPr>
          <w:rFonts w:ascii="Arial" w:hAnsi="Arial" w:cs="Arial"/>
        </w:rPr>
        <w:t xml:space="preserve">Os cinco coeficientes de maior magnitude no cenário principal estão na Tabela </w:t>
      </w:r>
      <w:r w:rsidR="00AE56A1">
        <w:rPr>
          <w:rFonts w:ascii="Arial" w:hAnsi="Arial" w:cs="Arial"/>
        </w:rPr>
        <w:t>a seguir</w:t>
      </w:r>
      <w:r w:rsidRPr="00EC2A86">
        <w:rPr>
          <w:rFonts w:ascii="Arial" w:hAnsi="Arial" w:cs="Arial"/>
        </w:rPr>
        <w:t xml:space="preserve">. Para os atributos numéricos, padronizados, o coeficiente indica o efeito de um desvio-padrão; para os categóricos, o efeito de pertencer à categoria. Sinal positivo aumenta a </w:t>
      </w:r>
      <w:r w:rsidRPr="00EC2A86">
        <w:rPr>
          <w:rFonts w:ascii="Arial" w:hAnsi="Arial" w:cs="Arial"/>
        </w:rPr>
        <w:t>chance de adesão.</w:t>
      </w:r>
    </w:p>
    <w:tbl>
      <w:tblPr>
        <w:tblStyle w:val="TabeladeGradeClara"/>
        <w:tblW w:w="8504" w:type="dxa"/>
        <w:jc w:val="center"/>
        <w:tblLayout w:type="fixed"/>
        <w:tblLook w:val="04A0" w:firstRow="1" w:lastRow="0" w:firstColumn="1" w:lastColumn="0" w:noHBand="0" w:noVBand="1"/>
      </w:tblPr>
      <w:tblGrid>
        <w:gridCol w:w="2826"/>
        <w:gridCol w:w="1224"/>
        <w:gridCol w:w="4454"/>
      </w:tblGrid>
      <w:tr w:rsidR="006957B9" w:rsidRPr="00EC2A86" w14:paraId="412D8ECE" w14:textId="77777777">
        <w:trPr>
          <w:cantSplit/>
          <w:tblHeader/>
          <w:jc w:val="center"/>
        </w:trPr>
        <w:tc>
          <w:tcPr>
            <w:tcW w:w="2826" w:type="dxa"/>
            <w:shd w:val="clear" w:color="auto" w:fill="FFCCCC"/>
          </w:tcPr>
          <w:p w14:paraId="6048627D" w14:textId="77777777" w:rsidR="006957B9" w:rsidRPr="00EC2A86" w:rsidRDefault="00DE5F59">
            <w:pPr>
              <w:keepNext/>
              <w:spacing w:before="40" w:after="40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b/>
                <w:bCs/>
                <w:sz w:val="18"/>
                <w:szCs w:val="18"/>
              </w:rPr>
              <w:t>Atributo</w:t>
            </w:r>
          </w:p>
        </w:tc>
        <w:tc>
          <w:tcPr>
            <w:tcW w:w="1224" w:type="dxa"/>
            <w:shd w:val="clear" w:color="auto" w:fill="FFCCCC"/>
          </w:tcPr>
          <w:p w14:paraId="53F73DDC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b/>
                <w:bCs/>
                <w:sz w:val="18"/>
                <w:szCs w:val="18"/>
              </w:rPr>
              <w:t>Coeficiente</w:t>
            </w:r>
          </w:p>
        </w:tc>
        <w:tc>
          <w:tcPr>
            <w:tcW w:w="4454" w:type="dxa"/>
            <w:shd w:val="clear" w:color="auto" w:fill="FFCCCC"/>
          </w:tcPr>
          <w:p w14:paraId="4F0D02B4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b/>
                <w:bCs/>
                <w:sz w:val="18"/>
                <w:szCs w:val="18"/>
              </w:rPr>
              <w:t>Interpretação</w:t>
            </w:r>
          </w:p>
        </w:tc>
      </w:tr>
      <w:tr w:rsidR="006957B9" w:rsidRPr="00EC2A86" w14:paraId="0269039E" w14:textId="77777777">
        <w:trPr>
          <w:cantSplit/>
          <w:jc w:val="center"/>
        </w:trPr>
        <w:tc>
          <w:tcPr>
            <w:tcW w:w="2826" w:type="dxa"/>
          </w:tcPr>
          <w:p w14:paraId="0BCC3F65" w14:textId="77777777" w:rsidR="006957B9" w:rsidRPr="00EC2A86" w:rsidRDefault="00DE5F59">
            <w:pPr>
              <w:keepNext/>
              <w:spacing w:before="40" w:after="40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8"/>
                <w:szCs w:val="18"/>
              </w:rPr>
              <w:t>taxa_variacao_emprego</w:t>
            </w:r>
          </w:p>
        </w:tc>
        <w:tc>
          <w:tcPr>
            <w:tcW w:w="1224" w:type="dxa"/>
          </w:tcPr>
          <w:p w14:paraId="35A8AEE7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8"/>
                <w:szCs w:val="18"/>
              </w:rPr>
              <w:t>−</w:t>
            </w:r>
            <w:r w:rsidRPr="00EC2A86">
              <w:rPr>
                <w:rFonts w:ascii="Arial" w:hAnsi="Arial" w:cs="Arial"/>
                <w:sz w:val="18"/>
                <w:szCs w:val="18"/>
              </w:rPr>
              <w:t>2,33</w:t>
            </w:r>
          </w:p>
        </w:tc>
        <w:tc>
          <w:tcPr>
            <w:tcW w:w="4454" w:type="dxa"/>
          </w:tcPr>
          <w:p w14:paraId="234AAA03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8"/>
                <w:szCs w:val="18"/>
              </w:rPr>
              <w:t>Mercado de trabalho aquecido reduz a adesão; as adesões concentram-se na crise.</w:t>
            </w:r>
          </w:p>
        </w:tc>
      </w:tr>
      <w:tr w:rsidR="006957B9" w:rsidRPr="00EC2A86" w14:paraId="1C6EB095" w14:textId="77777777">
        <w:trPr>
          <w:cantSplit/>
          <w:jc w:val="center"/>
        </w:trPr>
        <w:tc>
          <w:tcPr>
            <w:tcW w:w="2826" w:type="dxa"/>
          </w:tcPr>
          <w:p w14:paraId="11BC85AA" w14:textId="77777777" w:rsidR="006957B9" w:rsidRPr="00EC2A86" w:rsidRDefault="00DE5F59">
            <w:pPr>
              <w:keepNext/>
              <w:spacing w:before="40" w:after="40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8"/>
                <w:szCs w:val="18"/>
              </w:rPr>
              <w:t>mes = mar</w:t>
            </w:r>
          </w:p>
        </w:tc>
        <w:tc>
          <w:tcPr>
            <w:tcW w:w="1224" w:type="dxa"/>
          </w:tcPr>
          <w:p w14:paraId="08608642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8"/>
                <w:szCs w:val="18"/>
              </w:rPr>
              <w:t>+1,28</w:t>
            </w:r>
          </w:p>
        </w:tc>
        <w:tc>
          <w:tcPr>
            <w:tcW w:w="4454" w:type="dxa"/>
          </w:tcPr>
          <w:p w14:paraId="7A0B3EA1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8"/>
                <w:szCs w:val="18"/>
              </w:rPr>
              <w:t>Ligações feitas em março convertem muito mais.</w:t>
            </w:r>
          </w:p>
        </w:tc>
      </w:tr>
      <w:tr w:rsidR="006957B9" w:rsidRPr="00EC2A86" w14:paraId="1096F91D" w14:textId="77777777">
        <w:trPr>
          <w:cantSplit/>
          <w:jc w:val="center"/>
        </w:trPr>
        <w:tc>
          <w:tcPr>
            <w:tcW w:w="2826" w:type="dxa"/>
          </w:tcPr>
          <w:p w14:paraId="5D7914FA" w14:textId="77777777" w:rsidR="006957B9" w:rsidRPr="00EC2A86" w:rsidRDefault="00DE5F59">
            <w:pPr>
              <w:keepNext/>
              <w:spacing w:before="40" w:after="40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8"/>
                <w:szCs w:val="18"/>
              </w:rPr>
              <w:t>indice_precos_consumidor</w:t>
            </w:r>
          </w:p>
        </w:tc>
        <w:tc>
          <w:tcPr>
            <w:tcW w:w="1224" w:type="dxa"/>
          </w:tcPr>
          <w:p w14:paraId="0926944A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8"/>
                <w:szCs w:val="18"/>
              </w:rPr>
              <w:t>+1,12</w:t>
            </w:r>
          </w:p>
        </w:tc>
        <w:tc>
          <w:tcPr>
            <w:tcW w:w="4454" w:type="dxa"/>
          </w:tcPr>
          <w:p w14:paraId="281389B7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8"/>
                <w:szCs w:val="18"/>
              </w:rPr>
              <w:t>Inflação mais alta associada a mais adesão, mantidos os demais atributos.</w:t>
            </w:r>
          </w:p>
        </w:tc>
      </w:tr>
      <w:tr w:rsidR="006957B9" w:rsidRPr="00EC2A86" w14:paraId="69C61BFA" w14:textId="77777777">
        <w:trPr>
          <w:cantSplit/>
          <w:jc w:val="center"/>
        </w:trPr>
        <w:tc>
          <w:tcPr>
            <w:tcW w:w="2826" w:type="dxa"/>
          </w:tcPr>
          <w:p w14:paraId="0ADF99E4" w14:textId="77777777" w:rsidR="006957B9" w:rsidRPr="00EC2A86" w:rsidRDefault="00DE5F59">
            <w:pPr>
              <w:keepNext/>
              <w:spacing w:before="40" w:after="40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8"/>
                <w:szCs w:val="18"/>
              </w:rPr>
              <w:t>mes = jun</w:t>
            </w:r>
          </w:p>
        </w:tc>
        <w:tc>
          <w:tcPr>
            <w:tcW w:w="1224" w:type="dxa"/>
          </w:tcPr>
          <w:p w14:paraId="3F1F76D3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8"/>
                <w:szCs w:val="18"/>
              </w:rPr>
              <w:t>−</w:t>
            </w:r>
            <w:r w:rsidRPr="00EC2A86">
              <w:rPr>
                <w:rFonts w:ascii="Arial" w:hAnsi="Arial" w:cs="Arial"/>
                <w:sz w:val="18"/>
                <w:szCs w:val="18"/>
              </w:rPr>
              <w:t>0,79</w:t>
            </w:r>
          </w:p>
        </w:tc>
        <w:tc>
          <w:tcPr>
            <w:tcW w:w="4454" w:type="dxa"/>
          </w:tcPr>
          <w:p w14:paraId="351E62EE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8"/>
                <w:szCs w:val="18"/>
              </w:rPr>
              <w:t>Junho converte menos, descontado o efeito dos indicadores econômicos.</w:t>
            </w:r>
          </w:p>
        </w:tc>
      </w:tr>
      <w:tr w:rsidR="006957B9" w:rsidRPr="00EC2A86" w14:paraId="0BEFB1DE" w14:textId="77777777">
        <w:trPr>
          <w:cantSplit/>
          <w:jc w:val="center"/>
        </w:trPr>
        <w:tc>
          <w:tcPr>
            <w:tcW w:w="2826" w:type="dxa"/>
          </w:tcPr>
          <w:p w14:paraId="702C25A7" w14:textId="77777777" w:rsidR="006957B9" w:rsidRPr="00EC2A86" w:rsidRDefault="00DE5F59">
            <w:pPr>
              <w:keepNext/>
              <w:spacing w:before="40" w:after="40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8"/>
                <w:szCs w:val="18"/>
              </w:rPr>
              <w:t>meio_contato = telefone_fixo</w:t>
            </w:r>
          </w:p>
        </w:tc>
        <w:tc>
          <w:tcPr>
            <w:tcW w:w="1224" w:type="dxa"/>
          </w:tcPr>
          <w:p w14:paraId="68AD5DB8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8"/>
                <w:szCs w:val="18"/>
              </w:rPr>
              <w:t>−</w:t>
            </w:r>
            <w:r w:rsidRPr="00EC2A86">
              <w:rPr>
                <w:rFonts w:ascii="Arial" w:hAnsi="Arial" w:cs="Arial"/>
                <w:sz w:val="18"/>
                <w:szCs w:val="18"/>
              </w:rPr>
              <w:t>0,69</w:t>
            </w:r>
          </w:p>
        </w:tc>
        <w:tc>
          <w:tcPr>
            <w:tcW w:w="4454" w:type="dxa"/>
          </w:tcPr>
          <w:p w14:paraId="5DF144F7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8"/>
                <w:szCs w:val="18"/>
              </w:rPr>
              <w:t>Contato por telefone fixo converte menos que por celular.</w:t>
            </w:r>
          </w:p>
        </w:tc>
      </w:tr>
    </w:tbl>
    <w:p w14:paraId="058747FA" w14:textId="77777777" w:rsidR="006957B9" w:rsidRPr="00EC2A86" w:rsidRDefault="00DE5F59">
      <w:pPr>
        <w:spacing w:before="240" w:line="240" w:lineRule="auto"/>
        <w:ind w:firstLine="708"/>
        <w:jc w:val="both"/>
        <w:rPr>
          <w:rFonts w:ascii="Arial" w:hAnsi="Arial" w:cs="Arial"/>
        </w:rPr>
      </w:pPr>
      <w:r w:rsidRPr="00EC2A86">
        <w:rPr>
          <w:rFonts w:ascii="Arial" w:hAnsi="Arial" w:cs="Arial"/>
        </w:rPr>
        <w:t>Quase todos esses atributos descrevem o momento do contato, e não o cliente: o modelo aprende sobretudo quando ligar. Como os indicadores macroeconômicos são muit</w:t>
      </w:r>
      <w:r w:rsidRPr="00EC2A86">
        <w:rPr>
          <w:rFonts w:ascii="Arial" w:hAnsi="Arial" w:cs="Arial"/>
        </w:rPr>
        <w:t>o correlacionados e a regularização é quase nula, o valor individual de cada um desses coeficientes é instável e deve ser interpretado com cautela.</w:t>
      </w:r>
    </w:p>
    <w:p w14:paraId="31E0E962" w14:textId="3D978A98" w:rsidR="006957B9" w:rsidRPr="00EC2A86" w:rsidRDefault="00DE5F59">
      <w:pPr>
        <w:pStyle w:val="Ttulo2"/>
        <w:spacing w:before="240" w:line="240" w:lineRule="auto"/>
      </w:pPr>
      <w:r w:rsidRPr="00EC2A86">
        <w:t>Resultados</w:t>
      </w:r>
      <w:r w:rsidRPr="00EC2A86">
        <w:pict w14:anchorId="4CE74E3D">
          <v:rect id="_x0000_i1029" style="width:0;height:1.5pt" o:hralign="center" o:hrstd="t" o:hr="t" fillcolor="gray" stroked="f"/>
        </w:pict>
      </w:r>
    </w:p>
    <w:p w14:paraId="105A59DF" w14:textId="77777777" w:rsidR="006957B9" w:rsidRPr="00EC2A86" w:rsidRDefault="00DE5F59">
      <w:pPr>
        <w:keepNext/>
        <w:spacing w:before="240" w:line="240" w:lineRule="auto"/>
        <w:jc w:val="both"/>
        <w:rPr>
          <w:rFonts w:ascii="Arial" w:hAnsi="Arial" w:cs="Arial"/>
        </w:rPr>
      </w:pPr>
      <w:r w:rsidRPr="00EC2A86">
        <w:rPr>
          <w:rFonts w:ascii="Arial" w:hAnsi="Arial" w:cs="Arial"/>
          <w:b/>
          <w:bCs/>
        </w:rPr>
        <w:t>Métrica escolhida</w:t>
      </w:r>
    </w:p>
    <w:p w14:paraId="75366F5D" w14:textId="77777777" w:rsidR="006957B9" w:rsidRPr="00EC2A86" w:rsidRDefault="00DE5F59">
      <w:pPr>
        <w:spacing w:before="240" w:line="240" w:lineRule="auto"/>
        <w:ind w:firstLine="708"/>
        <w:jc w:val="both"/>
        <w:rPr>
          <w:rFonts w:ascii="Arial" w:hAnsi="Arial" w:cs="Arial"/>
        </w:rPr>
      </w:pPr>
      <w:r w:rsidRPr="00EC2A86">
        <w:rPr>
          <w:rFonts w:ascii="Arial" w:hAnsi="Arial" w:cs="Arial"/>
        </w:rPr>
        <w:t>A métrica principal de comparação é o F1 da classe positiva. Com 88,7% de r</w:t>
      </w:r>
      <w:r w:rsidRPr="00EC2A86">
        <w:rPr>
          <w:rFonts w:ascii="Arial" w:hAnsi="Arial" w:cs="Arial"/>
        </w:rPr>
        <w:t>egistros negativos, a acurácia premia o modelo que nunca indica ninguém. O que interessa ao banco é a classe “sim”: o recall mede quantos dos clientes que aderem são encontrados, e a precisão mede quantas das ligações indicadas resultam em adesão. O F1 com</w:t>
      </w:r>
      <w:r w:rsidRPr="00EC2A86">
        <w:rPr>
          <w:rFonts w:ascii="Arial" w:hAnsi="Arial" w:cs="Arial"/>
        </w:rPr>
        <w:t>bina as duas medidas e penaliza o modelo que se sai bem em apenas uma delas.</w:t>
      </w:r>
    </w:p>
    <w:p w14:paraId="445B3B32" w14:textId="77777777" w:rsidR="006957B9" w:rsidRPr="00EC2A86" w:rsidRDefault="00DE5F59">
      <w:pPr>
        <w:keepNext/>
        <w:spacing w:before="240" w:line="240" w:lineRule="auto"/>
        <w:jc w:val="both"/>
        <w:rPr>
          <w:rFonts w:ascii="Arial" w:hAnsi="Arial" w:cs="Arial"/>
        </w:rPr>
      </w:pPr>
      <w:r w:rsidRPr="00EC2A86">
        <w:rPr>
          <w:rFonts w:ascii="Arial" w:hAnsi="Arial" w:cs="Arial"/>
          <w:b/>
          <w:bCs/>
        </w:rPr>
        <w:t>Comparação dos modelos</w:t>
      </w:r>
    </w:p>
    <w:p w14:paraId="011BC9C4" w14:textId="620A467F" w:rsidR="006957B9" w:rsidRPr="00EC2A86" w:rsidRDefault="00DE5F59" w:rsidP="00AE56A1">
      <w:pPr>
        <w:spacing w:before="240" w:line="240" w:lineRule="auto"/>
        <w:ind w:firstLine="708"/>
        <w:jc w:val="both"/>
        <w:rPr>
          <w:rFonts w:ascii="Arial" w:hAnsi="Arial" w:cs="Arial"/>
        </w:rPr>
      </w:pPr>
      <w:r w:rsidRPr="00EC2A86">
        <w:rPr>
          <w:rFonts w:ascii="Arial" w:hAnsi="Arial" w:cs="Arial"/>
        </w:rPr>
        <w:t xml:space="preserve">A Tabela 3 consolida as métricas no conjunto de teste, nos dois cenários, e o F1 obtido na validação cruzada estratificada com 5 partições sobre o conjunto </w:t>
      </w:r>
      <w:r w:rsidRPr="00EC2A86">
        <w:rPr>
          <w:rFonts w:ascii="Arial" w:hAnsi="Arial" w:cs="Arial"/>
        </w:rPr>
        <w:t>de treino (média e desvio-padrão), no cenário principal.</w:t>
      </w:r>
    </w:p>
    <w:tbl>
      <w:tblPr>
        <w:tblStyle w:val="TabeladeGradeClara"/>
        <w:tblW w:w="8504" w:type="dxa"/>
        <w:jc w:val="center"/>
        <w:tblLayout w:type="fixed"/>
        <w:tblLook w:val="04A0" w:firstRow="1" w:lastRow="0" w:firstColumn="1" w:lastColumn="0" w:noHBand="0" w:noVBand="1"/>
      </w:tblPr>
      <w:tblGrid>
        <w:gridCol w:w="930"/>
        <w:gridCol w:w="1150"/>
        <w:gridCol w:w="760"/>
        <w:gridCol w:w="640"/>
        <w:gridCol w:w="740"/>
        <w:gridCol w:w="650"/>
        <w:gridCol w:w="640"/>
        <w:gridCol w:w="740"/>
        <w:gridCol w:w="650"/>
        <w:gridCol w:w="620"/>
        <w:gridCol w:w="984"/>
      </w:tblGrid>
      <w:tr w:rsidR="006957B9" w:rsidRPr="00EC2A86" w14:paraId="616BE5A8" w14:textId="77777777">
        <w:trPr>
          <w:cantSplit/>
          <w:tblHeader/>
          <w:jc w:val="center"/>
        </w:trPr>
        <w:tc>
          <w:tcPr>
            <w:tcW w:w="930" w:type="dxa"/>
            <w:shd w:val="clear" w:color="auto" w:fill="FFCCCC"/>
          </w:tcPr>
          <w:p w14:paraId="2218077F" w14:textId="77777777" w:rsidR="006957B9" w:rsidRPr="00EC2A86" w:rsidRDefault="00DE5F59">
            <w:pPr>
              <w:keepNext/>
              <w:spacing w:before="40" w:after="40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Cenário</w:t>
            </w:r>
          </w:p>
        </w:tc>
        <w:tc>
          <w:tcPr>
            <w:tcW w:w="1150" w:type="dxa"/>
            <w:shd w:val="clear" w:color="auto" w:fill="FFCCCC"/>
          </w:tcPr>
          <w:p w14:paraId="0EE45BD2" w14:textId="77777777" w:rsidR="006957B9" w:rsidRPr="00EC2A86" w:rsidRDefault="00DE5F59">
            <w:pPr>
              <w:keepNext/>
              <w:spacing w:before="40" w:after="40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b/>
                <w:bCs/>
                <w:sz w:val="16"/>
                <w:szCs w:val="16"/>
              </w:rPr>
              <w:t>Modelo</w:t>
            </w:r>
          </w:p>
        </w:tc>
        <w:tc>
          <w:tcPr>
            <w:tcW w:w="760" w:type="dxa"/>
            <w:shd w:val="clear" w:color="auto" w:fill="FFCCCC"/>
          </w:tcPr>
          <w:p w14:paraId="69A34D9B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b/>
                <w:bCs/>
                <w:sz w:val="16"/>
                <w:szCs w:val="16"/>
              </w:rPr>
              <w:t>Acurácia</w:t>
            </w:r>
          </w:p>
        </w:tc>
        <w:tc>
          <w:tcPr>
            <w:tcW w:w="640" w:type="dxa"/>
            <w:shd w:val="clear" w:color="auto" w:fill="FFCCCC"/>
          </w:tcPr>
          <w:p w14:paraId="38E5325A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b/>
                <w:bCs/>
                <w:sz w:val="16"/>
                <w:szCs w:val="16"/>
              </w:rPr>
              <w:t>Prec. não</w:t>
            </w:r>
          </w:p>
        </w:tc>
        <w:tc>
          <w:tcPr>
            <w:tcW w:w="740" w:type="dxa"/>
            <w:shd w:val="clear" w:color="auto" w:fill="FFCCCC"/>
          </w:tcPr>
          <w:p w14:paraId="4BC96C3A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b/>
                <w:bCs/>
                <w:sz w:val="16"/>
                <w:szCs w:val="16"/>
              </w:rPr>
              <w:t>Recall não</w:t>
            </w:r>
          </w:p>
        </w:tc>
        <w:tc>
          <w:tcPr>
            <w:tcW w:w="650" w:type="dxa"/>
            <w:shd w:val="clear" w:color="auto" w:fill="FFCCCC"/>
          </w:tcPr>
          <w:p w14:paraId="0949DC7E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b/>
                <w:bCs/>
                <w:sz w:val="16"/>
                <w:szCs w:val="16"/>
              </w:rPr>
              <w:t>F1 não</w:t>
            </w:r>
          </w:p>
        </w:tc>
        <w:tc>
          <w:tcPr>
            <w:tcW w:w="640" w:type="dxa"/>
            <w:shd w:val="clear" w:color="auto" w:fill="FFCCCC"/>
          </w:tcPr>
          <w:p w14:paraId="719C8511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b/>
                <w:bCs/>
                <w:sz w:val="16"/>
                <w:szCs w:val="16"/>
              </w:rPr>
              <w:t>Prec. sim</w:t>
            </w:r>
          </w:p>
        </w:tc>
        <w:tc>
          <w:tcPr>
            <w:tcW w:w="740" w:type="dxa"/>
            <w:shd w:val="clear" w:color="auto" w:fill="FFCCCC"/>
          </w:tcPr>
          <w:p w14:paraId="1CA9DF54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b/>
                <w:bCs/>
                <w:sz w:val="16"/>
                <w:szCs w:val="16"/>
              </w:rPr>
              <w:t>Recall sim</w:t>
            </w:r>
          </w:p>
        </w:tc>
        <w:tc>
          <w:tcPr>
            <w:tcW w:w="650" w:type="dxa"/>
            <w:shd w:val="clear" w:color="auto" w:fill="FFCCCC"/>
          </w:tcPr>
          <w:p w14:paraId="3BE960A0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b/>
                <w:bCs/>
                <w:sz w:val="16"/>
                <w:szCs w:val="16"/>
              </w:rPr>
              <w:t>F1 sim</w:t>
            </w:r>
          </w:p>
        </w:tc>
        <w:tc>
          <w:tcPr>
            <w:tcW w:w="620" w:type="dxa"/>
            <w:shd w:val="clear" w:color="auto" w:fill="FFCCCC"/>
          </w:tcPr>
          <w:p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b/>
                <w:bCs/>
                <w:sz w:val="16"/>
                <w:szCs w:val="16"/>
              </w:rPr>
              <w:t>AUC</w:t>
            </w:r>
          </w:p>
        </w:tc>
        <w:tc>
          <w:tcPr>
            <w:tcW w:w="984" w:type="dxa"/>
            <w:shd w:val="clear" w:color="auto" w:fill="FFCCCC"/>
          </w:tcPr>
          <w:p w14:paraId="032C9C11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b/>
                <w:bCs/>
                <w:sz w:val="16"/>
                <w:szCs w:val="16"/>
              </w:rPr>
              <w:t>F1 CV (média ± dp)</w:t>
            </w:r>
          </w:p>
        </w:tc>
      </w:tr>
      <w:tr w:rsidR="006957B9" w:rsidRPr="00EC2A86" w14:paraId="374DA40F" w14:textId="77777777">
        <w:trPr>
          <w:cantSplit/>
          <w:jc w:val="center"/>
        </w:trPr>
        <w:tc>
          <w:tcPr>
            <w:tcW w:w="930" w:type="dxa"/>
          </w:tcPr>
          <w:p w14:paraId="035641B1" w14:textId="77777777" w:rsidR="006957B9" w:rsidRPr="00EC2A86" w:rsidRDefault="00DE5F59">
            <w:pPr>
              <w:keepNext/>
              <w:spacing w:before="40" w:after="40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Principal</w:t>
            </w:r>
          </w:p>
        </w:tc>
        <w:tc>
          <w:tcPr>
            <w:tcW w:w="1150" w:type="dxa"/>
          </w:tcPr>
          <w:p w14:paraId="1F22DDBF" w14:textId="77777777" w:rsidR="006957B9" w:rsidRPr="00EC2A86" w:rsidRDefault="00DE5F59">
            <w:pPr>
              <w:keepNext/>
              <w:spacing w:before="40" w:after="40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k-NN</w:t>
            </w:r>
          </w:p>
        </w:tc>
        <w:tc>
          <w:tcPr>
            <w:tcW w:w="760" w:type="dxa"/>
          </w:tcPr>
          <w:p w14:paraId="17A1B5F1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0,897</w:t>
            </w:r>
          </w:p>
        </w:tc>
        <w:tc>
          <w:tcPr>
            <w:tcW w:w="640" w:type="dxa"/>
          </w:tcPr>
          <w:p w14:paraId="31CD91F4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0,911</w:t>
            </w:r>
          </w:p>
        </w:tc>
        <w:tc>
          <w:tcPr>
            <w:tcW w:w="740" w:type="dxa"/>
          </w:tcPr>
          <w:p w14:paraId="36650858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0,980</w:t>
            </w:r>
          </w:p>
        </w:tc>
        <w:tc>
          <w:tcPr>
            <w:tcW w:w="650" w:type="dxa"/>
          </w:tcPr>
          <w:p w14:paraId="5CFDF57A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0,944</w:t>
            </w:r>
          </w:p>
        </w:tc>
        <w:tc>
          <w:tcPr>
            <w:tcW w:w="640" w:type="dxa"/>
          </w:tcPr>
          <w:p w14:paraId="15BF3D89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0,610</w:t>
            </w:r>
          </w:p>
        </w:tc>
        <w:tc>
          <w:tcPr>
            <w:tcW w:w="740" w:type="dxa"/>
          </w:tcPr>
          <w:p w14:paraId="64A8800B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0,244</w:t>
            </w:r>
          </w:p>
        </w:tc>
        <w:tc>
          <w:tcPr>
            <w:tcW w:w="650" w:type="dxa"/>
          </w:tcPr>
          <w:p w14:paraId="2F450694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0,349</w:t>
            </w:r>
          </w:p>
        </w:tc>
        <w:tc>
          <w:tcPr>
            <w:tcW w:w="620" w:type="dxa"/>
          </w:tcPr>
          <w:p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0,770</w:t>
            </w:r>
          </w:p>
        </w:tc>
        <w:tc>
          <w:tcPr>
            <w:tcW w:w="984" w:type="dxa"/>
          </w:tcPr>
          <w:p w14:paraId="061A3AC7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0,363 ± 0,015</w:t>
            </w:r>
          </w:p>
        </w:tc>
      </w:tr>
      <w:tr w:rsidR="006957B9" w:rsidRPr="00EC2A86" w14:paraId="647BC9F4" w14:textId="77777777">
        <w:trPr>
          <w:cantSplit/>
          <w:jc w:val="center"/>
        </w:trPr>
        <w:tc>
          <w:tcPr>
            <w:tcW w:w="930" w:type="dxa"/>
          </w:tcPr>
          <w:p w14:paraId="389B9D08" w14:textId="77777777" w:rsidR="006957B9" w:rsidRPr="00EC2A86" w:rsidRDefault="00DE5F59">
            <w:pPr>
              <w:keepNext/>
              <w:spacing w:before="40" w:after="40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Principal</w:t>
            </w:r>
          </w:p>
        </w:tc>
        <w:tc>
          <w:tcPr>
            <w:tcW w:w="1150" w:type="dxa"/>
          </w:tcPr>
          <w:p w14:paraId="44E3FD9E" w14:textId="77777777" w:rsidR="006957B9" w:rsidRPr="00EC2A86" w:rsidRDefault="00DE5F59">
            <w:pPr>
              <w:keepNext/>
              <w:spacing w:before="40" w:after="40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Naive Bayes</w:t>
            </w:r>
          </w:p>
        </w:tc>
        <w:tc>
          <w:tcPr>
            <w:tcW w:w="760" w:type="dxa"/>
          </w:tcPr>
          <w:p w14:paraId="79857BB3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0,829</w:t>
            </w:r>
          </w:p>
        </w:tc>
        <w:tc>
          <w:tcPr>
            <w:tcW w:w="640" w:type="dxa"/>
          </w:tcPr>
          <w:p w14:paraId="10E7720C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0,941</w:t>
            </w:r>
          </w:p>
        </w:tc>
        <w:tc>
          <w:tcPr>
            <w:tcW w:w="740" w:type="dxa"/>
          </w:tcPr>
          <w:p w14:paraId="1A0EFF1E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0,861</w:t>
            </w:r>
          </w:p>
        </w:tc>
        <w:tc>
          <w:tcPr>
            <w:tcW w:w="650" w:type="dxa"/>
          </w:tcPr>
          <w:p w14:paraId="4C5DE3AF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0,899</w:t>
            </w:r>
          </w:p>
        </w:tc>
        <w:tc>
          <w:tcPr>
            <w:tcW w:w="640" w:type="dxa"/>
          </w:tcPr>
          <w:p w14:paraId="48F49CD8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0,345</w:t>
            </w:r>
          </w:p>
        </w:tc>
        <w:tc>
          <w:tcPr>
            <w:tcW w:w="740" w:type="dxa"/>
          </w:tcPr>
          <w:p w14:paraId="6B31F65D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0,578</w:t>
            </w:r>
          </w:p>
        </w:tc>
        <w:tc>
          <w:tcPr>
            <w:tcW w:w="650" w:type="dxa"/>
          </w:tcPr>
          <w:p w14:paraId="76C53D33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b/>
                <w:bCs/>
                <w:sz w:val="16"/>
                <w:szCs w:val="16"/>
              </w:rPr>
              <w:t>0,432</w:t>
            </w:r>
          </w:p>
        </w:tc>
        <w:tc>
          <w:tcPr>
            <w:tcW w:w="620" w:type="dxa"/>
          </w:tcPr>
          <w:p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0,778</w:t>
            </w:r>
          </w:p>
        </w:tc>
        <w:tc>
          <w:tcPr>
            <w:tcW w:w="984" w:type="dxa"/>
          </w:tcPr>
          <w:p w14:paraId="07C9D1A1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0,407 ± 0,013</w:t>
            </w:r>
          </w:p>
        </w:tc>
      </w:tr>
      <w:tr w:rsidR="006957B9" w:rsidRPr="00EC2A86" w14:paraId="231BCE2C" w14:textId="77777777">
        <w:trPr>
          <w:cantSplit/>
          <w:jc w:val="center"/>
        </w:trPr>
        <w:tc>
          <w:tcPr>
            <w:tcW w:w="930" w:type="dxa"/>
          </w:tcPr>
          <w:p w14:paraId="7BFF85E1" w14:textId="77777777" w:rsidR="006957B9" w:rsidRPr="00EC2A86" w:rsidRDefault="00DE5F59">
            <w:pPr>
              <w:keepNext/>
              <w:spacing w:before="40" w:after="40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Principal</w:t>
            </w:r>
          </w:p>
        </w:tc>
        <w:tc>
          <w:tcPr>
            <w:tcW w:w="1150" w:type="dxa"/>
          </w:tcPr>
          <w:p w14:paraId="14C00CB1" w14:textId="77777777" w:rsidR="006957B9" w:rsidRPr="00EC2A86" w:rsidRDefault="00DE5F59">
            <w:pPr>
              <w:keepNext/>
              <w:spacing w:before="40" w:after="40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Regressão logística</w:t>
            </w:r>
          </w:p>
        </w:tc>
        <w:tc>
          <w:tcPr>
            <w:tcW w:w="760" w:type="dxa"/>
          </w:tcPr>
          <w:p w14:paraId="26B390D5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0,899</w:t>
            </w:r>
          </w:p>
        </w:tc>
        <w:tc>
          <w:tcPr>
            <w:tcW w:w="640" w:type="dxa"/>
          </w:tcPr>
          <w:p w14:paraId="51C80D80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0,908</w:t>
            </w:r>
          </w:p>
        </w:tc>
        <w:tc>
          <w:tcPr>
            <w:tcW w:w="740" w:type="dxa"/>
          </w:tcPr>
          <w:p w14:paraId="02BAC457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0,986</w:t>
            </w:r>
          </w:p>
        </w:tc>
        <w:tc>
          <w:tcPr>
            <w:tcW w:w="650" w:type="dxa"/>
          </w:tcPr>
          <w:p w14:paraId="520AF31A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0,946</w:t>
            </w:r>
          </w:p>
        </w:tc>
        <w:tc>
          <w:tcPr>
            <w:tcW w:w="640" w:type="dxa"/>
          </w:tcPr>
          <w:p w14:paraId="091D20D1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0,662</w:t>
            </w:r>
          </w:p>
        </w:tc>
        <w:tc>
          <w:tcPr>
            <w:tcW w:w="740" w:type="dxa"/>
          </w:tcPr>
          <w:p w14:paraId="3D80996A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0,214</w:t>
            </w:r>
          </w:p>
        </w:tc>
        <w:tc>
          <w:tcPr>
            <w:tcW w:w="650" w:type="dxa"/>
          </w:tcPr>
          <w:p w14:paraId="098A46C9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0,324</w:t>
            </w:r>
          </w:p>
        </w:tc>
        <w:tc>
          <w:tcPr>
            <w:tcW w:w="620" w:type="dxa"/>
          </w:tcPr>
          <w:p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0,803</w:t>
            </w:r>
          </w:p>
        </w:tc>
        <w:tc>
          <w:tcPr>
            <w:tcW w:w="984" w:type="dxa"/>
          </w:tcPr>
          <w:p w14:paraId="18CA473E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0,343 ± 0,020</w:t>
            </w:r>
          </w:p>
        </w:tc>
      </w:tr>
      <w:tr w:rsidR="006957B9" w:rsidRPr="00EC2A86" w14:paraId="604EB6B5" w14:textId="77777777">
        <w:trPr>
          <w:cantSplit/>
          <w:jc w:val="center"/>
        </w:trPr>
        <w:tc>
          <w:tcPr>
            <w:tcW w:w="930" w:type="dxa"/>
          </w:tcPr>
          <w:p w14:paraId="7CC12DBF" w14:textId="77777777" w:rsidR="006957B9" w:rsidRPr="00EC2A86" w:rsidRDefault="00DE5F59">
            <w:pPr>
              <w:keepNext/>
              <w:spacing w:before="40" w:after="40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Completo</w:t>
            </w:r>
          </w:p>
        </w:tc>
        <w:tc>
          <w:tcPr>
            <w:tcW w:w="1150" w:type="dxa"/>
          </w:tcPr>
          <w:p w14:paraId="1A04E855" w14:textId="77777777" w:rsidR="006957B9" w:rsidRPr="00EC2A86" w:rsidRDefault="00DE5F59">
            <w:pPr>
              <w:keepNext/>
              <w:spacing w:before="40" w:after="40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k-NN</w:t>
            </w:r>
          </w:p>
        </w:tc>
        <w:tc>
          <w:tcPr>
            <w:tcW w:w="760" w:type="dxa"/>
          </w:tcPr>
          <w:p w14:paraId="4951C6BE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0,898</w:t>
            </w:r>
          </w:p>
        </w:tc>
        <w:tc>
          <w:tcPr>
            <w:tcW w:w="640" w:type="dxa"/>
          </w:tcPr>
          <w:p w14:paraId="614233E6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0,930</w:t>
            </w:r>
          </w:p>
        </w:tc>
        <w:tc>
          <w:tcPr>
            <w:tcW w:w="740" w:type="dxa"/>
          </w:tcPr>
          <w:p w14:paraId="43CDE655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0,957</w:t>
            </w:r>
          </w:p>
        </w:tc>
        <w:tc>
          <w:tcPr>
            <w:tcW w:w="650" w:type="dxa"/>
          </w:tcPr>
          <w:p w14:paraId="4D0A144F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0,943</w:t>
            </w:r>
          </w:p>
        </w:tc>
        <w:tc>
          <w:tcPr>
            <w:tcW w:w="640" w:type="dxa"/>
          </w:tcPr>
          <w:p w14:paraId="16B9F4D7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0,560</w:t>
            </w:r>
          </w:p>
        </w:tc>
        <w:tc>
          <w:tcPr>
            <w:tcW w:w="740" w:type="dxa"/>
          </w:tcPr>
          <w:p w14:paraId="76F2A349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0,434</w:t>
            </w:r>
          </w:p>
        </w:tc>
        <w:tc>
          <w:tcPr>
            <w:tcW w:w="650" w:type="dxa"/>
          </w:tcPr>
          <w:p w14:paraId="556F16C9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0,489</w:t>
            </w:r>
          </w:p>
        </w:tc>
        <w:tc>
          <w:tcPr>
            <w:tcW w:w="620" w:type="dxa"/>
          </w:tcPr>
          <w:p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0,827</w:t>
            </w:r>
          </w:p>
        </w:tc>
        <w:tc>
          <w:tcPr>
            <w:tcW w:w="984" w:type="dxa"/>
          </w:tcPr>
          <w:p w14:paraId="21CA132F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—</w:t>
            </w:r>
          </w:p>
        </w:tc>
      </w:tr>
      <w:tr w:rsidR="006957B9" w:rsidRPr="00EC2A86" w14:paraId="70F85896" w14:textId="77777777">
        <w:trPr>
          <w:cantSplit/>
          <w:jc w:val="center"/>
        </w:trPr>
        <w:tc>
          <w:tcPr>
            <w:tcW w:w="930" w:type="dxa"/>
          </w:tcPr>
          <w:p w14:paraId="46C42647" w14:textId="77777777" w:rsidR="006957B9" w:rsidRPr="00EC2A86" w:rsidRDefault="00DE5F59">
            <w:pPr>
              <w:keepNext/>
              <w:spacing w:before="40" w:after="40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Completo</w:t>
            </w:r>
          </w:p>
        </w:tc>
        <w:tc>
          <w:tcPr>
            <w:tcW w:w="1150" w:type="dxa"/>
          </w:tcPr>
          <w:p w14:paraId="6DFD5A8A" w14:textId="77777777" w:rsidR="006957B9" w:rsidRPr="00EC2A86" w:rsidRDefault="00DE5F59">
            <w:pPr>
              <w:keepNext/>
              <w:spacing w:before="40" w:after="40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Naive Bayes</w:t>
            </w:r>
          </w:p>
        </w:tc>
        <w:tc>
          <w:tcPr>
            <w:tcW w:w="760" w:type="dxa"/>
          </w:tcPr>
          <w:p w14:paraId="2B875DCA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0,836</w:t>
            </w:r>
          </w:p>
        </w:tc>
        <w:tc>
          <w:tcPr>
            <w:tcW w:w="640" w:type="dxa"/>
          </w:tcPr>
          <w:p w14:paraId="0325D964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0,949</w:t>
            </w:r>
          </w:p>
        </w:tc>
        <w:tc>
          <w:tcPr>
            <w:tcW w:w="740" w:type="dxa"/>
          </w:tcPr>
          <w:p w14:paraId="5E117DFC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0,861</w:t>
            </w:r>
          </w:p>
        </w:tc>
        <w:tc>
          <w:tcPr>
            <w:tcW w:w="650" w:type="dxa"/>
          </w:tcPr>
          <w:p w14:paraId="601B1047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0,903</w:t>
            </w:r>
          </w:p>
        </w:tc>
        <w:tc>
          <w:tcPr>
            <w:tcW w:w="640" w:type="dxa"/>
          </w:tcPr>
          <w:p w14:paraId="094C5B93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0,367</w:t>
            </w:r>
          </w:p>
        </w:tc>
        <w:tc>
          <w:tcPr>
            <w:tcW w:w="740" w:type="dxa"/>
          </w:tcPr>
          <w:p w14:paraId="5161B978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0,634</w:t>
            </w:r>
          </w:p>
        </w:tc>
        <w:tc>
          <w:tcPr>
            <w:tcW w:w="650" w:type="dxa"/>
          </w:tcPr>
          <w:p w14:paraId="2D150ABC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0,465</w:t>
            </w:r>
          </w:p>
        </w:tc>
        <w:tc>
          <w:tcPr>
            <w:tcW w:w="620" w:type="dxa"/>
          </w:tcPr>
          <w:p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0,839</w:t>
            </w:r>
          </w:p>
        </w:tc>
        <w:tc>
          <w:tcPr>
            <w:tcW w:w="984" w:type="dxa"/>
          </w:tcPr>
          <w:p w14:paraId="1B49957B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—</w:t>
            </w:r>
          </w:p>
        </w:tc>
      </w:tr>
      <w:tr w:rsidR="006957B9" w:rsidRPr="00EC2A86" w14:paraId="16876B65" w14:textId="77777777">
        <w:trPr>
          <w:cantSplit/>
          <w:jc w:val="center"/>
        </w:trPr>
        <w:tc>
          <w:tcPr>
            <w:tcW w:w="930" w:type="dxa"/>
          </w:tcPr>
          <w:p w14:paraId="026B6895" w14:textId="77777777" w:rsidR="006957B9" w:rsidRPr="00EC2A86" w:rsidRDefault="00DE5F59">
            <w:pPr>
              <w:keepNext/>
              <w:spacing w:before="40" w:after="40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Completo</w:t>
            </w:r>
          </w:p>
        </w:tc>
        <w:tc>
          <w:tcPr>
            <w:tcW w:w="1150" w:type="dxa"/>
          </w:tcPr>
          <w:p w14:paraId="6D97D9CB" w14:textId="77777777" w:rsidR="006957B9" w:rsidRPr="00EC2A86" w:rsidRDefault="00DE5F59">
            <w:pPr>
              <w:keepNext/>
              <w:spacing w:before="40" w:after="40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Regressão logística</w:t>
            </w:r>
          </w:p>
        </w:tc>
        <w:tc>
          <w:tcPr>
            <w:tcW w:w="760" w:type="dxa"/>
          </w:tcPr>
          <w:p w14:paraId="758B2D64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0,909</w:t>
            </w:r>
          </w:p>
        </w:tc>
        <w:tc>
          <w:tcPr>
            <w:tcW w:w="640" w:type="dxa"/>
          </w:tcPr>
          <w:p w14:paraId="775954C7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0,930</w:t>
            </w:r>
          </w:p>
        </w:tc>
        <w:tc>
          <w:tcPr>
            <w:tcW w:w="740" w:type="dxa"/>
          </w:tcPr>
          <w:p w14:paraId="39165572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0,971</w:t>
            </w:r>
          </w:p>
        </w:tc>
        <w:tc>
          <w:tcPr>
            <w:tcW w:w="650" w:type="dxa"/>
          </w:tcPr>
          <w:p w14:paraId="28D8D9B2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0,950</w:t>
            </w:r>
          </w:p>
        </w:tc>
        <w:tc>
          <w:tcPr>
            <w:tcW w:w="640" w:type="dxa"/>
          </w:tcPr>
          <w:p w14:paraId="22244EFE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0,650</w:t>
            </w:r>
          </w:p>
        </w:tc>
        <w:tc>
          <w:tcPr>
            <w:tcW w:w="740" w:type="dxa"/>
          </w:tcPr>
          <w:p w14:paraId="65F72B21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0,420</w:t>
            </w:r>
          </w:p>
        </w:tc>
        <w:tc>
          <w:tcPr>
            <w:tcW w:w="650" w:type="dxa"/>
          </w:tcPr>
          <w:p w14:paraId="563E8E6B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b/>
                <w:bCs/>
                <w:sz w:val="16"/>
                <w:szCs w:val="16"/>
              </w:rPr>
              <w:t>0,511</w:t>
            </w:r>
          </w:p>
        </w:tc>
        <w:tc>
          <w:tcPr>
            <w:tcW w:w="620" w:type="dxa"/>
          </w:tcPr>
          <w:p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0,937</w:t>
            </w:r>
          </w:p>
        </w:tc>
        <w:tc>
          <w:tcPr>
            <w:tcW w:w="984" w:type="dxa"/>
          </w:tcPr>
          <w:p w14:paraId="38EA7B42" w14:textId="77777777" w:rsidR="006957B9" w:rsidRPr="00EC2A86" w:rsidRDefault="00DE5F59">
            <w:pPr>
              <w:keepNext/>
              <w:spacing w:before="40" w:after="40"/>
              <w:jc w:val="center"/>
              <w:rPr>
                <w:rFonts w:ascii="Arial" w:hAnsi="Arial" w:cs="Arial"/>
              </w:rPr>
            </w:pPr>
            <w:r w:rsidRPr="00EC2A86">
              <w:rPr>
                <w:rFonts w:ascii="Arial" w:hAnsi="Arial" w:cs="Arial"/>
                <w:sz w:val="16"/>
                <w:szCs w:val="16"/>
              </w:rPr>
              <w:t>—</w:t>
            </w:r>
          </w:p>
        </w:tc>
      </w:tr>
    </w:tbl>
    <w:p w14:paraId="642FC20E" w14:textId="77777777" w:rsidR="006957B9" w:rsidRPr="00EC2A86" w:rsidRDefault="00DE5F59">
      <w:pPr>
        <w:spacing w:before="240" w:line="240" w:lineRule="auto"/>
        <w:ind w:firstLine="708"/>
        <w:jc w:val="both"/>
        <w:rPr>
          <w:rFonts w:ascii="Arial" w:hAnsi="Arial" w:cs="Arial"/>
        </w:rPr>
      </w:pPr>
      <w:r w:rsidRPr="00EC2A86">
        <w:rPr>
          <w:rFonts w:ascii="Arial" w:hAnsi="Arial" w:cs="Arial"/>
        </w:rPr>
        <w:t>No cenário principal, o Naive Bayes obtém o maior F1 da classe positiva (0,432), à frente do k-NN (0,349) e da regressão logística (0,324). A validação cruzada confirma a mesma ordem, com desvios-padrão pequenos (entre 0,013 e 0,020), o que indica que a di</w:t>
      </w:r>
      <w:r w:rsidRPr="00EC2A86">
        <w:rPr>
          <w:rFonts w:ascii="Arial" w:hAnsi="Arial" w:cs="Arial"/>
        </w:rPr>
        <w:t>ferença não se deve à divisão particular entre treino e teste. Em acurácia, k-NN e regressão logística (cerca de 0,90) ficam apenas um ponto percentual acima dos 88,7% que se obteriam respondendo sempre “não”, e o Naive Bayes (0,83) fica abaixo disso, embo</w:t>
      </w:r>
      <w:r w:rsidRPr="00EC2A86">
        <w:rPr>
          <w:rFonts w:ascii="Arial" w:hAnsi="Arial" w:cs="Arial"/>
        </w:rPr>
        <w:t>ra seja o modelo que mais encontra clientes.</w:t>
      </w:r>
    </w:p>
    <w:p w14:paraId="17346E0D" w14:textId="77777777" w:rsidR="006957B9" w:rsidRPr="00EC2A86" w:rsidRDefault="00DE5F59">
      <w:pPr>
        <w:keepNext/>
        <w:spacing w:before="240" w:line="240" w:lineRule="auto"/>
        <w:jc w:val="both"/>
        <w:rPr>
          <w:rFonts w:ascii="Arial" w:hAnsi="Arial" w:cs="Arial"/>
        </w:rPr>
      </w:pPr>
      <w:r w:rsidRPr="00EC2A86">
        <w:rPr>
          <w:rFonts w:ascii="Arial" w:hAnsi="Arial" w:cs="Arial"/>
          <w:b/>
          <w:bCs/>
        </w:rPr>
        <w:t>Matrizes de confusão e análise dos erros</w:t>
      </w:r>
    </w:p>
    <w:p w14:paraId="1E5C4051" w14:textId="193E717F" w:rsidR="006957B9" w:rsidRPr="00EC2A86" w:rsidRDefault="00DE5F59" w:rsidP="00AE56A1">
      <w:pPr>
        <w:keepNext/>
        <w:spacing w:before="240" w:line="240" w:lineRule="auto"/>
        <w:jc w:val="center"/>
        <w:rPr>
          <w:rFonts w:ascii="Arial" w:hAnsi="Arial" w:cs="Arial"/>
        </w:rPr>
      </w:pPr>
      <w:r w:rsidRPr="00EC2A86">
        <w:rPr>
          <w:rFonts w:ascii="Arial" w:hAnsi="Arial" w:cs="Arial"/>
          <w:noProof/>
        </w:rPr>
        <w:drawing>
          <wp:inline distT="0" distB="0" distL="0" distR="0" wp14:anchorId="48C30C10" wp14:editId="7DB2A1A4">
            <wp:extent cx="5349240" cy="3275891"/>
            <wp:effectExtent l="0" t="0" r="0" b="0"/>
            <wp:docPr id="103" name="Figura 3" descr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fig_relatorio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27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C3745" w14:textId="77777777" w:rsidR="006957B9" w:rsidRPr="00EC2A86" w:rsidRDefault="00DE5F59">
      <w:pPr>
        <w:spacing w:before="240" w:line="240" w:lineRule="auto"/>
        <w:ind w:firstLine="708"/>
        <w:jc w:val="both"/>
        <w:rPr>
          <w:rFonts w:ascii="Arial" w:hAnsi="Arial" w:cs="Arial"/>
        </w:rPr>
      </w:pPr>
      <w:r w:rsidRPr="00EC2A86">
        <w:rPr>
          <w:rFonts w:ascii="Arial" w:hAnsi="Arial" w:cs="Arial"/>
        </w:rPr>
        <w:t>No cenário principal, k-NN e regressão logística são conservadores: indicam pouc</w:t>
      </w:r>
      <w:r w:rsidRPr="00EC2A86">
        <w:rPr>
          <w:rFonts w:ascii="Arial" w:hAnsi="Arial" w:cs="Arial"/>
        </w:rPr>
        <w:t xml:space="preserve">os clientes (557 e 450, respectivamente), acertam de 61% a 66% das indicações, mas deixam de encontrar mais de 1.050 dos 1.392 clientes que aderem. O Naive Bayes indica 2.333 clientes, dos quais 804 aderem: encontra mais que o dobro dos clientes, ao custo </w:t>
      </w:r>
      <w:r w:rsidRPr="00EC2A86">
        <w:rPr>
          <w:rFonts w:ascii="Arial" w:hAnsi="Arial" w:cs="Arial"/>
        </w:rPr>
        <w:t>de 1.529 ligações sem sucesso.</w:t>
      </w:r>
    </w:p>
    <w:p w14:paraId="598135B8" w14:textId="77777777" w:rsidR="006957B9" w:rsidRPr="00EC2A86" w:rsidRDefault="00DE5F59">
      <w:pPr>
        <w:spacing w:before="240" w:line="240" w:lineRule="auto"/>
        <w:ind w:firstLine="708"/>
        <w:jc w:val="both"/>
        <w:rPr>
          <w:rFonts w:ascii="Arial" w:hAnsi="Arial" w:cs="Arial"/>
        </w:rPr>
      </w:pPr>
      <w:r w:rsidRPr="00EC2A86">
        <w:rPr>
          <w:rFonts w:ascii="Arial" w:hAnsi="Arial" w:cs="Arial"/>
        </w:rPr>
        <w:t>Os dois tipos de erro têm custos diferentes. Um falso positivo custa uma ligação desperdiçada, isto é, alguns minutos de um operador. Um falso negativo é um cliente que aderiria e não foi contatado, ou seja, um depósito que o</w:t>
      </w:r>
      <w:r w:rsidRPr="00EC2A86">
        <w:rPr>
          <w:rFonts w:ascii="Arial" w:hAnsi="Arial" w:cs="Arial"/>
        </w:rPr>
        <w:t xml:space="preserve"> banco deixa de captar. O falso negativo tende, portanto, a custar mais, o que favorece o modelo de maior recall. </w:t>
      </w:r>
      <w:r w:rsidRPr="00EC2A86">
        <w:rPr>
          <w:rFonts w:ascii="Arial" w:hAnsi="Arial" w:cs="Arial"/>
        </w:rPr>
        <w:lastRenderedPageBreak/>
        <w:t>Essa avaliação depende do custo real da ligação e do valor médio captado por depósito, dados que não constam da base.</w:t>
      </w:r>
    </w:p>
    <w:p w:rsidR="006957B9" w:rsidRPr="00EC2A86" w:rsidRDefault="00DE5F59">
      <w:pPr>
        <w:keepNext/>
        <w:spacing w:before="240" w:line="240" w:lineRule="auto"/>
        <w:jc w:val="both"/>
        <w:rPr>
          <w:rFonts w:ascii="Arial" w:hAnsi="Arial" w:cs="Arial"/>
        </w:rPr>
      </w:pPr>
      <w:r w:rsidRPr="00EC2A86">
        <w:rPr>
          <w:rFonts w:ascii="Arial" w:hAnsi="Arial" w:cs="Arial"/>
          <w:b/>
          <w:bCs/>
        </w:rPr>
        <w:t>Curva ROC e AUC</w:t>
      </w:r>
    </w:p>
    <w:p>
      <w:pPr>
        <w:spacing w:before="240" w:line="24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As métricas anteriores valem apenas para o limiar de 0,5. A curva ROC avalia os modelos em todos os limiares, e a AUC resume cada curva em um número. No cenário principal, a regressão logística tem a maior AUC (0,803), seguida do Naive Bayes (0,778) e do k-NN (0,770); a validação cruzada confirma a ordem (0,787, 0,763 e 0,755, com desvios de cerca de 0,012). A ordem é diferente da do F1: a logística é a que melhor ordena os clientes, embora tenha o menor recall em 0,5. Com limiar de 0,2, ela encontra 56,5% dos clientes que aderem, com precisão de 43,9% e F1 de 0,494, acima do melhor resultado do Naive Bayes. Essa análise do limiar usa o conjunto de teste e é apenas ilustrativa. No cenário completo, a AUC da logística chega a 0,937, valor alto que reflete a presença da duração da ligação.</w:t>
      </w:r>
    </w:p>
    <w:p w:rsidR="006957B9" w:rsidRPr="00EC2A86" w:rsidRDefault="00DE5F59" w:rsidP="00AE56A1">
      <w:pPr>
        <w:spacing w:before="240" w:line="240" w:lineRule="auto"/>
        <w:jc w:val="center"/>
        <w:rPr>
          <w:rFonts w:ascii="Arial" w:hAnsi="Arial" w:cs="Arial"/>
        </w:rPr>
      </w:pPr>
      <w:r w:rsidRPr="00EC2A86">
        <w:rPr>
          <w:rFonts w:ascii="Arial" w:hAnsi="Arial" w:cs="Arial"/>
          <w:noProof/>
        </w:rPr>
        <w:drawing>
          <wp:inline distT="0" distB="0" distL="0" distR="0">
            <wp:extent cx="5349240" cy="2263140"/>
            <wp:effectExtent l="0" t="0" r="0" b="0"/>
            <wp:docPr id="104" name="Figura 4" descr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fig_relatorio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C403" w14:textId="157314FB" w:rsidR="006957B9" w:rsidRPr="00EC2A86" w:rsidRDefault="00DE5F59">
      <w:pPr>
        <w:pStyle w:val="Ttulo2"/>
        <w:spacing w:before="240" w:line="240" w:lineRule="auto"/>
      </w:pPr>
      <w:r w:rsidRPr="00EC2A86">
        <w:t>Discussão e conclusão</w:t>
      </w:r>
      <w:r w:rsidRPr="00EC2A86">
        <w:pict w14:anchorId="08432624">
          <v:rect id="_x0000_i1030" style="width:0;height:1.5pt" o:hralign="center" o:hrstd="t" o:hr="t" fillcolor="gray" stroked="f"/>
        </w:pict>
      </w:r>
    </w:p>
    <w:p w14:paraId="0884B8DA" w14:textId="77777777" w:rsidR="006957B9" w:rsidRPr="00AE56A1" w:rsidRDefault="00DE5F59">
      <w:pPr>
        <w:spacing w:before="240" w:line="240" w:lineRule="auto"/>
        <w:ind w:firstLine="708"/>
        <w:jc w:val="both"/>
        <w:rPr>
          <w:rFonts w:ascii="Arial" w:hAnsi="Arial" w:cs="Arial"/>
        </w:rPr>
      </w:pPr>
      <w:r w:rsidRPr="00AE56A1">
        <w:rPr>
          <w:rFonts w:ascii="Arial" w:hAnsi="Arial" w:cs="Arial"/>
          <w:b/>
          <w:bCs/>
        </w:rPr>
        <w:t xml:space="preserve">Modelo mais adequado. </w:t>
      </w:r>
      <w:r>
        <w:rPr>
          <w:rFonts w:ascii="Arial" w:hAnsi="Arial" w:cs="Arial"/>
        </w:rPr>
        <w:t>A resposta depende de como o modelo será usado. No limiar padrão de 0,5, o Naive Bayes (GaussianNB) é o melhor do cenário principal: tem o maior F1 no teste e na validação cruzada e o maior recall. Ligar para os 2.333 clientes que ele indica (19% da base de teste) alcançaria 58% das adesões, com taxa de conversão de 34%, contra 11% em ligações sem critério. Já a regressão logística é a que melhor ordena os clientes por chance de adesão e a que mais ganha com o ajuste do limiar. Como o objetivo do banco é priorizar contatos, consideramos a regressão logística com limiar ajustado a opção mais adequada, desde que o limiar seja escolhido com dados de validação.</w:t>
      </w:r>
    </w:p>
    <w:p w14:paraId="66B4273C" w14:textId="77777777" w:rsidR="006957B9" w:rsidRPr="00AE56A1" w:rsidRDefault="00DE5F59">
      <w:pPr>
        <w:spacing w:before="240" w:line="240" w:lineRule="auto"/>
        <w:ind w:firstLine="708"/>
        <w:jc w:val="both"/>
        <w:rPr>
          <w:rFonts w:ascii="Arial" w:hAnsi="Arial" w:cs="Arial"/>
        </w:rPr>
      </w:pPr>
      <w:r w:rsidRPr="00AE56A1">
        <w:rPr>
          <w:rFonts w:ascii="Arial" w:hAnsi="Arial" w:cs="Arial"/>
          <w:b/>
          <w:bCs/>
        </w:rPr>
        <w:t xml:space="preserve">Comparação entre os cenários. </w:t>
      </w:r>
      <w:r w:rsidRPr="00AE56A1">
        <w:rPr>
          <w:rFonts w:ascii="Arial" w:hAnsi="Arial" w:cs="Arial"/>
        </w:rPr>
        <w:t>No ce</w:t>
      </w:r>
      <w:r w:rsidRPr="00AE56A1">
        <w:rPr>
          <w:rFonts w:ascii="Arial" w:hAnsi="Arial" w:cs="Arial"/>
        </w:rPr>
        <w:t xml:space="preserve">nário completo todos os modelos melhoram, e a regressão logística chega a F1 de 0,511. O ganho vem principalmente de </w:t>
      </w:r>
      <w:r w:rsidRPr="00AE56A1">
        <w:rPr>
          <w:rFonts w:ascii="Arial" w:hAnsi="Arial" w:cs="Arial"/>
        </w:rPr>
        <w:t>duracao_ligacao_seg</w:t>
      </w:r>
      <w:r w:rsidRPr="00AE56A1">
        <w:rPr>
          <w:rFonts w:ascii="Arial" w:hAnsi="Arial" w:cs="Arial"/>
        </w:rPr>
        <w:t>, que aparece entre os maiores coeficientes. Isso não torna o cenário completo melhor para uso prático: a duração só é c</w:t>
      </w:r>
      <w:r w:rsidRPr="00AE56A1">
        <w:rPr>
          <w:rFonts w:ascii="Arial" w:hAnsi="Arial" w:cs="Arial"/>
        </w:rPr>
        <w:t>onhecida depois da ligação, e um modelo que dependa dela não pode decidir para quem ligar. O ganho é vazamento de informação do futuro. A comparação mostra o quanto a avaliação de um modelo pode ser inflada por atributos indisponíveis no momento da decisão</w:t>
      </w:r>
      <w:r w:rsidRPr="00AE56A1">
        <w:rPr>
          <w:rFonts w:ascii="Arial" w:hAnsi="Arial" w:cs="Arial"/>
        </w:rPr>
        <w:t>.</w:t>
      </w:r>
    </w:p>
    <w:p w14:paraId="285210CD" w14:textId="77777777" w:rsidR="006957B9" w:rsidRPr="00AE56A1" w:rsidRDefault="00DE5F59">
      <w:pPr>
        <w:spacing w:before="240" w:line="240" w:lineRule="auto"/>
        <w:ind w:firstLine="708"/>
        <w:jc w:val="both"/>
        <w:rPr>
          <w:rFonts w:ascii="Arial" w:hAnsi="Arial" w:cs="Arial"/>
        </w:rPr>
      </w:pPr>
      <w:r w:rsidRPr="00AE56A1">
        <w:rPr>
          <w:rFonts w:ascii="Arial" w:hAnsi="Arial" w:cs="Arial"/>
          <w:b/>
          <w:bCs/>
        </w:rPr>
        <w:t xml:space="preserve">Limitações. </w:t>
      </w:r>
      <w:r w:rsidRPr="00AE56A1">
        <w:rPr>
          <w:rFonts w:ascii="Arial" w:hAnsi="Arial" w:cs="Arial"/>
        </w:rPr>
        <w:t>A análise do limiar foi feita sobre o conjunto de teste, apenas como ilustração; a escolha de um limiar para uso real exigiria dados de validação e o custo de cada erro. O Naive Bayes supõe independência entre os atributos, hipótese que não vale p</w:t>
      </w:r>
      <w:r w:rsidRPr="00AE56A1">
        <w:rPr>
          <w:rFonts w:ascii="Arial" w:hAnsi="Arial" w:cs="Arial"/>
        </w:rPr>
        <w:t>ara os indicadores macroeconômicos, e a hipótese gaussiana é apenas aproximada para os atributos binários. O desempenho se apoia fortemente no contexto econômico da crise de 2008–2010 e pode não se manter em outro período. A busca de hiperparâmetros usou u</w:t>
      </w:r>
      <w:r w:rsidRPr="00AE56A1">
        <w:rPr>
          <w:rFonts w:ascii="Arial" w:hAnsi="Arial" w:cs="Arial"/>
        </w:rPr>
        <w:t xml:space="preserve">ma amostra do treino, e não o treino completo. Por fim, </w:t>
      </w:r>
      <w:r w:rsidRPr="00AE56A1">
        <w:rPr>
          <w:rFonts w:ascii="Arial" w:hAnsi="Arial" w:cs="Arial"/>
        </w:rPr>
        <w:t>mes</w:t>
      </w:r>
      <w:r w:rsidRPr="00AE56A1">
        <w:rPr>
          <w:rFonts w:ascii="Arial" w:hAnsi="Arial" w:cs="Arial"/>
        </w:rPr>
        <w:t xml:space="preserve">, </w:t>
      </w:r>
      <w:r w:rsidRPr="00AE56A1">
        <w:rPr>
          <w:rFonts w:ascii="Arial" w:hAnsi="Arial" w:cs="Arial"/>
        </w:rPr>
        <w:t>dia_semana</w:t>
      </w:r>
      <w:r w:rsidRPr="00AE56A1">
        <w:rPr>
          <w:rFonts w:ascii="Arial" w:hAnsi="Arial" w:cs="Arial"/>
        </w:rPr>
        <w:t xml:space="preserve"> e </w:t>
      </w:r>
      <w:r w:rsidRPr="00AE56A1">
        <w:rPr>
          <w:rFonts w:ascii="Arial" w:hAnsi="Arial" w:cs="Arial"/>
        </w:rPr>
        <w:t>meio_contato</w:t>
      </w:r>
      <w:r w:rsidRPr="00AE56A1">
        <w:rPr>
          <w:rFonts w:ascii="Arial" w:hAnsi="Arial" w:cs="Arial"/>
        </w:rPr>
        <w:t xml:space="preserve"> foram mantidos no cenário principal por serem definidos pelo banco ao planejar o contato, mas essa escolha é discutível.</w:t>
      </w:r>
    </w:p>
    <w:p w14:paraId="6F5B4071" w14:textId="77777777" w:rsidR="006957B9" w:rsidRPr="00AE56A1" w:rsidRDefault="00DE5F59">
      <w:pPr>
        <w:spacing w:before="240" w:line="240" w:lineRule="auto"/>
        <w:ind w:firstLine="708"/>
        <w:jc w:val="both"/>
        <w:rPr>
          <w:rFonts w:ascii="Arial" w:hAnsi="Arial" w:cs="Arial"/>
        </w:rPr>
      </w:pPr>
      <w:r w:rsidRPr="00AE56A1">
        <w:rPr>
          <w:rFonts w:ascii="Arial" w:hAnsi="Arial" w:cs="Arial"/>
          <w:b/>
          <w:bCs/>
        </w:rPr>
        <w:t xml:space="preserve">Melhorias. </w:t>
      </w:r>
      <w:r w:rsidRPr="00AE56A1">
        <w:rPr>
          <w:rFonts w:ascii="Arial" w:hAnsi="Arial" w:cs="Arial"/>
        </w:rPr>
        <w:t xml:space="preserve">Os próximos passos seriam: ajustar o </w:t>
      </w:r>
      <w:r w:rsidRPr="00AE56A1">
        <w:rPr>
          <w:rFonts w:ascii="Arial" w:hAnsi="Arial" w:cs="Arial"/>
        </w:rPr>
        <w:t>limiar de decisão por validação cruzada, de acordo com os custos</w:t>
      </w:r>
      <w:bookmarkStart w:id="0" w:name="_GoBack"/>
      <w:bookmarkEnd w:id="0"/>
      <w:r w:rsidRPr="00AE56A1">
        <w:rPr>
          <w:rFonts w:ascii="Arial" w:hAnsi="Arial" w:cs="Arial"/>
        </w:rPr>
        <w:t xml:space="preserve"> reais de cada erro; ordenar os clientes pela probabilidade prevista e avaliar a conversão por faixa; tratar o desbalanceamento com pesos de classe na regressão logística; reduzir a redundânci</w:t>
      </w:r>
      <w:r w:rsidRPr="00AE56A1">
        <w:rPr>
          <w:rFonts w:ascii="Arial" w:hAnsi="Arial" w:cs="Arial"/>
        </w:rPr>
        <w:t>a entre os indicadores macroeconômicos; testar o voto ponderado pela distância no k-NN; e validar os modelos com divisão temporal, treinando nos meses iniciais e testando nos finais, para simular o uso real.</w:t>
      </w:r>
    </w:p>
    <w:p w14:paraId="1AC42331" w14:textId="0AC0547F" w:rsidR="006957B9" w:rsidRPr="00EC2A86" w:rsidRDefault="00DE5F59">
      <w:pPr>
        <w:pStyle w:val="Ttulo2"/>
        <w:spacing w:before="240" w:line="240" w:lineRule="auto"/>
      </w:pPr>
      <w:r w:rsidRPr="00EC2A86">
        <w:t xml:space="preserve">Declaração de uso de ferramentas de IA </w:t>
      </w:r>
      <w:r w:rsidRPr="00EC2A86">
        <w:t>generativa</w:t>
      </w:r>
      <w:r w:rsidRPr="00EC2A86">
        <w:pict w14:anchorId="385BDEC3">
          <v:rect id="_x0000_i1042" style="width:0;height:1.5pt" o:hralign="center" o:hrstd="t" o:hr="t" fillcolor="gray" stroked="f"/>
        </w:pict>
      </w:r>
    </w:p>
    <w:p w14:paraId="4C1F181F" w14:textId="4E648533" w:rsidR="006957B9" w:rsidRPr="00EC2A86" w:rsidRDefault="00DE5F59" w:rsidP="00AE56A1">
      <w:pPr>
        <w:spacing w:before="240" w:line="240" w:lineRule="auto"/>
        <w:ind w:firstLine="708"/>
        <w:jc w:val="both"/>
        <w:rPr>
          <w:rFonts w:ascii="Arial" w:hAnsi="Arial" w:cs="Arial"/>
        </w:rPr>
      </w:pPr>
      <w:r w:rsidRPr="00EC2A86">
        <w:rPr>
          <w:rFonts w:ascii="Arial" w:hAnsi="Arial" w:cs="Arial"/>
        </w:rPr>
        <w:t xml:space="preserve">Utilizamos uma ferramenta de IA </w:t>
      </w:r>
      <w:r w:rsidR="00AE56A1">
        <w:rPr>
          <w:rFonts w:ascii="Arial" w:hAnsi="Arial" w:cs="Arial"/>
        </w:rPr>
        <w:t xml:space="preserve">para </w:t>
      </w:r>
      <w:r w:rsidRPr="00AE56A1">
        <w:rPr>
          <w:rFonts w:ascii="Arial" w:hAnsi="Arial" w:cs="Arial"/>
        </w:rPr>
        <w:t xml:space="preserve">a comparação das variantes de </w:t>
      </w:r>
      <w:proofErr w:type="spellStart"/>
      <w:r w:rsidRPr="00AE56A1">
        <w:rPr>
          <w:rFonts w:ascii="Arial" w:hAnsi="Arial" w:cs="Arial"/>
        </w:rPr>
        <w:t>Naive</w:t>
      </w:r>
      <w:proofErr w:type="spellEnd"/>
      <w:r w:rsidRPr="00AE56A1">
        <w:rPr>
          <w:rFonts w:ascii="Arial" w:hAnsi="Arial" w:cs="Arial"/>
        </w:rPr>
        <w:t xml:space="preserve"> </w:t>
      </w:r>
      <w:proofErr w:type="spellStart"/>
      <w:r w:rsidRPr="00AE56A1">
        <w:rPr>
          <w:rFonts w:ascii="Arial" w:hAnsi="Arial" w:cs="Arial"/>
        </w:rPr>
        <w:t>Bayes</w:t>
      </w:r>
      <w:proofErr w:type="spellEnd"/>
      <w:r w:rsidR="00AE56A1">
        <w:rPr>
          <w:rFonts w:ascii="Arial" w:hAnsi="Arial" w:cs="Arial"/>
        </w:rPr>
        <w:t xml:space="preserve">, para revisão de código e resultados, afim de </w:t>
      </w:r>
      <w:r>
        <w:rPr>
          <w:rFonts w:ascii="Arial" w:hAnsi="Arial" w:cs="Arial"/>
        </w:rPr>
        <w:t>ter</w:t>
      </w:r>
      <w:r w:rsidR="00AE56A1">
        <w:rPr>
          <w:rFonts w:ascii="Arial" w:hAnsi="Arial" w:cs="Arial"/>
        </w:rPr>
        <w:t xml:space="preserve"> melhor compreensão de algumas analises e organizações na linha de raciocínio</w:t>
      </w:r>
      <w:r w:rsidRPr="00AE56A1">
        <w:rPr>
          <w:rFonts w:ascii="Arial" w:hAnsi="Arial" w:cs="Arial"/>
        </w:rPr>
        <w:t>.</w:t>
      </w:r>
      <w:r w:rsidRPr="00EC2A86">
        <w:rPr>
          <w:rFonts w:ascii="Arial" w:hAnsi="Arial" w:cs="Arial"/>
          <w:b/>
          <w:bCs/>
        </w:rPr>
        <w:t xml:space="preserve"> </w:t>
      </w:r>
      <w:r w:rsidRPr="00EC2A86">
        <w:rPr>
          <w:rFonts w:ascii="Arial" w:hAnsi="Arial" w:cs="Arial"/>
        </w:rPr>
        <w:t xml:space="preserve">A IA foi utilizada </w:t>
      </w:r>
      <w:r w:rsidRPr="00EC2A86">
        <w:rPr>
          <w:rFonts w:ascii="Arial" w:hAnsi="Arial" w:cs="Arial"/>
        </w:rPr>
        <w:t xml:space="preserve">na </w:t>
      </w:r>
      <w:r w:rsidR="00AE56A1">
        <w:rPr>
          <w:rFonts w:ascii="Arial" w:hAnsi="Arial" w:cs="Arial"/>
        </w:rPr>
        <w:t>re</w:t>
      </w:r>
      <w:r w:rsidRPr="00EC2A86">
        <w:rPr>
          <w:rFonts w:ascii="Arial" w:hAnsi="Arial" w:cs="Arial"/>
        </w:rPr>
        <w:t xml:space="preserve">organização </w:t>
      </w:r>
      <w:r>
        <w:rPr>
          <w:rFonts w:ascii="Arial" w:hAnsi="Arial" w:cs="Arial"/>
        </w:rPr>
        <w:t xml:space="preserve">e grafia </w:t>
      </w:r>
      <w:r w:rsidRPr="00EC2A86">
        <w:rPr>
          <w:rFonts w:ascii="Arial" w:hAnsi="Arial" w:cs="Arial"/>
        </w:rPr>
        <w:t xml:space="preserve">deste </w:t>
      </w:r>
      <w:r>
        <w:rPr>
          <w:rFonts w:ascii="Arial" w:hAnsi="Arial" w:cs="Arial"/>
        </w:rPr>
        <w:t>documento</w:t>
      </w:r>
      <w:r w:rsidRPr="00EC2A86">
        <w:rPr>
          <w:rFonts w:ascii="Arial" w:hAnsi="Arial" w:cs="Arial"/>
        </w:rPr>
        <w:t>, a partir dos resultados do notebook</w:t>
      </w:r>
      <w:r w:rsidR="00AE56A1">
        <w:rPr>
          <w:rFonts w:ascii="Arial" w:hAnsi="Arial" w:cs="Arial"/>
        </w:rPr>
        <w:t>, afim de obter maior eficiência na organização do documento para o tamanho pedido pelo professor</w:t>
      </w:r>
      <w:r w:rsidRPr="00EC2A86">
        <w:rPr>
          <w:rFonts w:ascii="Arial" w:hAnsi="Arial" w:cs="Arial"/>
        </w:rPr>
        <w:t>.</w:t>
      </w:r>
      <w:r w:rsidRPr="00EC2A86">
        <w:rPr>
          <w:rFonts w:ascii="Arial" w:hAnsi="Arial" w:cs="Arial"/>
        </w:rPr>
        <w:t xml:space="preserve"> </w:t>
      </w:r>
      <w:r w:rsidR="00AE56A1">
        <w:rPr>
          <w:rFonts w:ascii="Arial" w:hAnsi="Arial" w:cs="Arial"/>
        </w:rPr>
        <w:t xml:space="preserve">Toda a ajuda foi solicitada para o </w:t>
      </w:r>
      <w:proofErr w:type="spellStart"/>
      <w:r w:rsidR="00AE56A1">
        <w:rPr>
          <w:rFonts w:ascii="Arial" w:hAnsi="Arial" w:cs="Arial"/>
        </w:rPr>
        <w:t>chatGPT</w:t>
      </w:r>
      <w:proofErr w:type="spellEnd"/>
      <w:r w:rsidR="00AE56A1">
        <w:rPr>
          <w:rFonts w:ascii="Arial" w:hAnsi="Arial" w:cs="Arial"/>
        </w:rPr>
        <w:t xml:space="preserve"> e o Claude.</w:t>
      </w:r>
    </w:p>
    <w:sectPr w:rsidR="006957B9" w:rsidRPr="00EC2A86" w:rsidSect="007913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716D37"/>
    <w:multiLevelType w:val="hybridMultilevel"/>
    <w:tmpl w:val="303A67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AE1276"/>
    <w:multiLevelType w:val="hybridMultilevel"/>
    <w:tmpl w:val="BCEC2E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C574F9"/>
    <w:multiLevelType w:val="hybridMultilevel"/>
    <w:tmpl w:val="F788A6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1B0BF8"/>
    <w:multiLevelType w:val="hybridMultilevel"/>
    <w:tmpl w:val="08F4DE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C72DC8"/>
    <w:multiLevelType w:val="hybridMultilevel"/>
    <w:tmpl w:val="509E22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7AF"/>
    <w:rsid w:val="00000C9F"/>
    <w:rsid w:val="00007D4A"/>
    <w:rsid w:val="00012790"/>
    <w:rsid w:val="0002026A"/>
    <w:rsid w:val="00022826"/>
    <w:rsid w:val="000257FF"/>
    <w:rsid w:val="000304E2"/>
    <w:rsid w:val="00037575"/>
    <w:rsid w:val="00057069"/>
    <w:rsid w:val="00093CE0"/>
    <w:rsid w:val="000A1C1C"/>
    <w:rsid w:val="000A3ECD"/>
    <w:rsid w:val="000B07E8"/>
    <w:rsid w:val="000D2406"/>
    <w:rsid w:val="001022E7"/>
    <w:rsid w:val="00104CE0"/>
    <w:rsid w:val="001162A5"/>
    <w:rsid w:val="00124A68"/>
    <w:rsid w:val="001369FE"/>
    <w:rsid w:val="00144C0D"/>
    <w:rsid w:val="00151EA5"/>
    <w:rsid w:val="001749CD"/>
    <w:rsid w:val="001846E6"/>
    <w:rsid w:val="001B28DB"/>
    <w:rsid w:val="001B2FE2"/>
    <w:rsid w:val="001D653B"/>
    <w:rsid w:val="001E1E8A"/>
    <w:rsid w:val="001E618B"/>
    <w:rsid w:val="001F01BA"/>
    <w:rsid w:val="001F1621"/>
    <w:rsid w:val="001F2AFC"/>
    <w:rsid w:val="00206886"/>
    <w:rsid w:val="00212D9D"/>
    <w:rsid w:val="00220B1C"/>
    <w:rsid w:val="00224324"/>
    <w:rsid w:val="002305DE"/>
    <w:rsid w:val="00231CC5"/>
    <w:rsid w:val="00255233"/>
    <w:rsid w:val="00267D48"/>
    <w:rsid w:val="00281DB8"/>
    <w:rsid w:val="00292073"/>
    <w:rsid w:val="002B5D9E"/>
    <w:rsid w:val="002B7A07"/>
    <w:rsid w:val="002C73F2"/>
    <w:rsid w:val="002E119F"/>
    <w:rsid w:val="002E1E6B"/>
    <w:rsid w:val="002F00CE"/>
    <w:rsid w:val="002F7790"/>
    <w:rsid w:val="00300CCF"/>
    <w:rsid w:val="003064A3"/>
    <w:rsid w:val="0032073B"/>
    <w:rsid w:val="003251CF"/>
    <w:rsid w:val="003262B7"/>
    <w:rsid w:val="00330B74"/>
    <w:rsid w:val="00335E1D"/>
    <w:rsid w:val="00336822"/>
    <w:rsid w:val="003444DC"/>
    <w:rsid w:val="00347539"/>
    <w:rsid w:val="00347941"/>
    <w:rsid w:val="003513F7"/>
    <w:rsid w:val="00365DCF"/>
    <w:rsid w:val="00370E9E"/>
    <w:rsid w:val="003811D4"/>
    <w:rsid w:val="003A727F"/>
    <w:rsid w:val="003C2B8C"/>
    <w:rsid w:val="003C6B84"/>
    <w:rsid w:val="003E158E"/>
    <w:rsid w:val="003F2287"/>
    <w:rsid w:val="00400F89"/>
    <w:rsid w:val="00404C12"/>
    <w:rsid w:val="00404C3E"/>
    <w:rsid w:val="00404F13"/>
    <w:rsid w:val="0040582A"/>
    <w:rsid w:val="00406890"/>
    <w:rsid w:val="00415E19"/>
    <w:rsid w:val="00421FEE"/>
    <w:rsid w:val="004378E0"/>
    <w:rsid w:val="00450287"/>
    <w:rsid w:val="00451BDB"/>
    <w:rsid w:val="00452CA7"/>
    <w:rsid w:val="00455A6B"/>
    <w:rsid w:val="00460BEC"/>
    <w:rsid w:val="00464823"/>
    <w:rsid w:val="004942DA"/>
    <w:rsid w:val="004A5FB4"/>
    <w:rsid w:val="004A6789"/>
    <w:rsid w:val="004B2CE1"/>
    <w:rsid w:val="004E6027"/>
    <w:rsid w:val="004F6154"/>
    <w:rsid w:val="004F6EC7"/>
    <w:rsid w:val="005043EC"/>
    <w:rsid w:val="0050441D"/>
    <w:rsid w:val="0051417A"/>
    <w:rsid w:val="005147E3"/>
    <w:rsid w:val="00515535"/>
    <w:rsid w:val="0052142E"/>
    <w:rsid w:val="00531313"/>
    <w:rsid w:val="0053664B"/>
    <w:rsid w:val="00547CFA"/>
    <w:rsid w:val="00560CCB"/>
    <w:rsid w:val="00563295"/>
    <w:rsid w:val="00564799"/>
    <w:rsid w:val="00586DF7"/>
    <w:rsid w:val="00587223"/>
    <w:rsid w:val="005A3891"/>
    <w:rsid w:val="005B07B0"/>
    <w:rsid w:val="005B11E7"/>
    <w:rsid w:val="005B708C"/>
    <w:rsid w:val="005C6230"/>
    <w:rsid w:val="005C6862"/>
    <w:rsid w:val="005C6998"/>
    <w:rsid w:val="005E17F1"/>
    <w:rsid w:val="005E2CDA"/>
    <w:rsid w:val="005F10BB"/>
    <w:rsid w:val="005F3025"/>
    <w:rsid w:val="00614317"/>
    <w:rsid w:val="00614A20"/>
    <w:rsid w:val="00621ABE"/>
    <w:rsid w:val="00625453"/>
    <w:rsid w:val="006262BB"/>
    <w:rsid w:val="0064522D"/>
    <w:rsid w:val="00680D2F"/>
    <w:rsid w:val="00681D99"/>
    <w:rsid w:val="006937AF"/>
    <w:rsid w:val="006957B9"/>
    <w:rsid w:val="006A0B32"/>
    <w:rsid w:val="006A405C"/>
    <w:rsid w:val="006A7B3C"/>
    <w:rsid w:val="006B0BE9"/>
    <w:rsid w:val="006B2AEF"/>
    <w:rsid w:val="006C1F9A"/>
    <w:rsid w:val="006C4C20"/>
    <w:rsid w:val="006E40DE"/>
    <w:rsid w:val="006E485E"/>
    <w:rsid w:val="006E6A35"/>
    <w:rsid w:val="006E7570"/>
    <w:rsid w:val="006F35A1"/>
    <w:rsid w:val="0071085C"/>
    <w:rsid w:val="007376DA"/>
    <w:rsid w:val="00742519"/>
    <w:rsid w:val="00746D80"/>
    <w:rsid w:val="00747DEF"/>
    <w:rsid w:val="00761E76"/>
    <w:rsid w:val="007634E7"/>
    <w:rsid w:val="00765185"/>
    <w:rsid w:val="007654A3"/>
    <w:rsid w:val="00766102"/>
    <w:rsid w:val="00775F1D"/>
    <w:rsid w:val="007809CC"/>
    <w:rsid w:val="00791367"/>
    <w:rsid w:val="007A085C"/>
    <w:rsid w:val="007A5EBC"/>
    <w:rsid w:val="007D207C"/>
    <w:rsid w:val="007E03FE"/>
    <w:rsid w:val="007E08C3"/>
    <w:rsid w:val="007E571B"/>
    <w:rsid w:val="007F5303"/>
    <w:rsid w:val="0080009D"/>
    <w:rsid w:val="008148EE"/>
    <w:rsid w:val="0081569C"/>
    <w:rsid w:val="00846CB6"/>
    <w:rsid w:val="00872E49"/>
    <w:rsid w:val="00894D87"/>
    <w:rsid w:val="008B7EF1"/>
    <w:rsid w:val="008C27F4"/>
    <w:rsid w:val="008E2DC6"/>
    <w:rsid w:val="008E481D"/>
    <w:rsid w:val="008E6019"/>
    <w:rsid w:val="008F0CEE"/>
    <w:rsid w:val="008F538C"/>
    <w:rsid w:val="0091194F"/>
    <w:rsid w:val="009126A2"/>
    <w:rsid w:val="009133F0"/>
    <w:rsid w:val="00940486"/>
    <w:rsid w:val="009442EB"/>
    <w:rsid w:val="0096321D"/>
    <w:rsid w:val="00966955"/>
    <w:rsid w:val="0097470A"/>
    <w:rsid w:val="00993E05"/>
    <w:rsid w:val="009941EA"/>
    <w:rsid w:val="009943C9"/>
    <w:rsid w:val="00994433"/>
    <w:rsid w:val="0099762F"/>
    <w:rsid w:val="009A103A"/>
    <w:rsid w:val="009B76AA"/>
    <w:rsid w:val="009C5EBF"/>
    <w:rsid w:val="009D4E96"/>
    <w:rsid w:val="009F2B52"/>
    <w:rsid w:val="009F734C"/>
    <w:rsid w:val="00A04E8F"/>
    <w:rsid w:val="00A21421"/>
    <w:rsid w:val="00A219D8"/>
    <w:rsid w:val="00A23002"/>
    <w:rsid w:val="00A27AC9"/>
    <w:rsid w:val="00A30364"/>
    <w:rsid w:val="00A44441"/>
    <w:rsid w:val="00A4496B"/>
    <w:rsid w:val="00A47AF1"/>
    <w:rsid w:val="00A521B8"/>
    <w:rsid w:val="00A6619E"/>
    <w:rsid w:val="00A81677"/>
    <w:rsid w:val="00A9275F"/>
    <w:rsid w:val="00AA3D45"/>
    <w:rsid w:val="00AB31CA"/>
    <w:rsid w:val="00AB52D9"/>
    <w:rsid w:val="00AC18D7"/>
    <w:rsid w:val="00AD3DCF"/>
    <w:rsid w:val="00AD480B"/>
    <w:rsid w:val="00AE56A1"/>
    <w:rsid w:val="00B034D4"/>
    <w:rsid w:val="00B06716"/>
    <w:rsid w:val="00B105AF"/>
    <w:rsid w:val="00B14502"/>
    <w:rsid w:val="00B23E11"/>
    <w:rsid w:val="00B42D00"/>
    <w:rsid w:val="00B5124F"/>
    <w:rsid w:val="00B524E3"/>
    <w:rsid w:val="00B56FD4"/>
    <w:rsid w:val="00B61213"/>
    <w:rsid w:val="00B90A1F"/>
    <w:rsid w:val="00B94C33"/>
    <w:rsid w:val="00BC1F54"/>
    <w:rsid w:val="00BC592B"/>
    <w:rsid w:val="00BE524D"/>
    <w:rsid w:val="00BF5696"/>
    <w:rsid w:val="00C06434"/>
    <w:rsid w:val="00C07970"/>
    <w:rsid w:val="00C12510"/>
    <w:rsid w:val="00C16217"/>
    <w:rsid w:val="00C30458"/>
    <w:rsid w:val="00C30817"/>
    <w:rsid w:val="00C37D14"/>
    <w:rsid w:val="00C40040"/>
    <w:rsid w:val="00C60C0A"/>
    <w:rsid w:val="00C713E7"/>
    <w:rsid w:val="00C759BB"/>
    <w:rsid w:val="00C76A19"/>
    <w:rsid w:val="00CA61B1"/>
    <w:rsid w:val="00CA72A3"/>
    <w:rsid w:val="00CB477D"/>
    <w:rsid w:val="00CB7536"/>
    <w:rsid w:val="00CD1896"/>
    <w:rsid w:val="00CE08E2"/>
    <w:rsid w:val="00CE508C"/>
    <w:rsid w:val="00CE7DAA"/>
    <w:rsid w:val="00CF297A"/>
    <w:rsid w:val="00CF69AC"/>
    <w:rsid w:val="00D05B20"/>
    <w:rsid w:val="00D403D3"/>
    <w:rsid w:val="00D4771D"/>
    <w:rsid w:val="00D51219"/>
    <w:rsid w:val="00D66A31"/>
    <w:rsid w:val="00D7278F"/>
    <w:rsid w:val="00D81F98"/>
    <w:rsid w:val="00D828EC"/>
    <w:rsid w:val="00D83F0E"/>
    <w:rsid w:val="00D844B2"/>
    <w:rsid w:val="00D9112E"/>
    <w:rsid w:val="00DB2B5E"/>
    <w:rsid w:val="00DE5F59"/>
    <w:rsid w:val="00DE754F"/>
    <w:rsid w:val="00E079A1"/>
    <w:rsid w:val="00E12580"/>
    <w:rsid w:val="00E17347"/>
    <w:rsid w:val="00E17AA3"/>
    <w:rsid w:val="00E20B30"/>
    <w:rsid w:val="00E25609"/>
    <w:rsid w:val="00E56E79"/>
    <w:rsid w:val="00E64D9B"/>
    <w:rsid w:val="00E72646"/>
    <w:rsid w:val="00E92933"/>
    <w:rsid w:val="00E9464B"/>
    <w:rsid w:val="00EC2A86"/>
    <w:rsid w:val="00ED3399"/>
    <w:rsid w:val="00ED6665"/>
    <w:rsid w:val="00EE2B4D"/>
    <w:rsid w:val="00EE4085"/>
    <w:rsid w:val="00EF6638"/>
    <w:rsid w:val="00F01C40"/>
    <w:rsid w:val="00F056BD"/>
    <w:rsid w:val="00F06FD1"/>
    <w:rsid w:val="00F32525"/>
    <w:rsid w:val="00F331D7"/>
    <w:rsid w:val="00F36BBD"/>
    <w:rsid w:val="00F46A62"/>
    <w:rsid w:val="00F50B0A"/>
    <w:rsid w:val="00F52AEC"/>
    <w:rsid w:val="00F66041"/>
    <w:rsid w:val="00F70DC0"/>
    <w:rsid w:val="00FA6288"/>
    <w:rsid w:val="00FA72EA"/>
    <w:rsid w:val="00FB3300"/>
    <w:rsid w:val="00FC3649"/>
    <w:rsid w:val="00FC5E56"/>
    <w:rsid w:val="00FF2462"/>
    <w:rsid w:val="00FF520A"/>
    <w:rsid w:val="00FF5A60"/>
    <w:rsid w:val="00FF6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177800C2"/>
  <w15:chartTrackingRefBased/>
  <w15:docId w15:val="{CD5E9148-73EE-4E4A-8BA4-9C634EF2C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1085C"/>
  </w:style>
  <w:style w:type="paragraph" w:styleId="Ttulo1">
    <w:name w:val="heading 1"/>
    <w:basedOn w:val="Normal"/>
    <w:next w:val="Normal"/>
    <w:link w:val="Ttulo1Char"/>
    <w:uiPriority w:val="9"/>
    <w:qFormat/>
    <w:rsid w:val="006937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937AF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apa">
    <w:name w:val="Capa"/>
    <w:basedOn w:val="Normal"/>
    <w:qFormat/>
    <w:rsid w:val="006937AF"/>
    <w:pPr>
      <w:spacing w:after="0" w:line="360" w:lineRule="auto"/>
      <w:jc w:val="center"/>
    </w:pPr>
    <w:rPr>
      <w:rFonts w:ascii="Times New Roman" w:eastAsia="Times New Roman" w:hAnsi="Times New Roman" w:cs="Times New Roman"/>
      <w:b/>
      <w:sz w:val="24"/>
    </w:rPr>
  </w:style>
  <w:style w:type="paragraph" w:customStyle="1" w:styleId="CapaTtulo">
    <w:name w:val="Capa Título"/>
    <w:basedOn w:val="Capa"/>
    <w:next w:val="Capa"/>
    <w:qFormat/>
    <w:rsid w:val="006937AF"/>
    <w:rPr>
      <w:sz w:val="32"/>
    </w:rPr>
  </w:style>
  <w:style w:type="character" w:customStyle="1" w:styleId="Ttulo1Char">
    <w:name w:val="Título 1 Char"/>
    <w:basedOn w:val="Fontepargpadro"/>
    <w:link w:val="Ttulo1"/>
    <w:uiPriority w:val="9"/>
    <w:rsid w:val="006937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6937AF"/>
    <w:rPr>
      <w:rFonts w:ascii="Arial" w:eastAsiaTheme="majorEastAsia" w:hAnsi="Arial" w:cs="Arial"/>
      <w:b/>
      <w:bCs/>
      <w:sz w:val="28"/>
      <w:szCs w:val="28"/>
    </w:rPr>
  </w:style>
  <w:style w:type="paragraph" w:styleId="SemEspaamento">
    <w:name w:val="No Spacing"/>
    <w:uiPriority w:val="1"/>
    <w:qFormat/>
    <w:rsid w:val="006937AF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A4496B"/>
    <w:pPr>
      <w:ind w:left="720"/>
      <w:contextualSpacing/>
    </w:pPr>
  </w:style>
  <w:style w:type="character" w:styleId="CdigoHTML">
    <w:name w:val="HTML Code"/>
    <w:basedOn w:val="Fontepargpadro"/>
    <w:uiPriority w:val="99"/>
    <w:semiHidden/>
    <w:unhideWhenUsed/>
    <w:rsid w:val="00421FE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50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math-inline">
    <w:name w:val="math-inline"/>
    <w:basedOn w:val="Fontepargpadro"/>
    <w:rsid w:val="00450287"/>
  </w:style>
  <w:style w:type="paragraph" w:styleId="Reviso">
    <w:name w:val="Revision"/>
    <w:hidden/>
    <w:uiPriority w:val="99"/>
    <w:semiHidden/>
    <w:rsid w:val="00766102"/>
    <w:pPr>
      <w:spacing w:after="0" w:line="240" w:lineRule="auto"/>
    </w:pPr>
  </w:style>
  <w:style w:type="table" w:styleId="Tabelacomgrade">
    <w:name w:val="Table Grid"/>
    <w:basedOn w:val="Tabelanormal"/>
    <w:uiPriority w:val="39"/>
    <w:rsid w:val="00547C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547CF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AE56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E56A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1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</TotalTime>
  <Pages>7</Pages>
  <Words>2123</Words>
  <Characters>11470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Yazbek e Matteus Prado Lopes Guimarães</dc:creator>
  <cp:keywords/>
  <dc:description/>
  <cp:lastModifiedBy>MATTEUS PRADO LOPES GUIMARAES</cp:lastModifiedBy>
  <cp:revision>2</cp:revision>
  <dcterms:created xsi:type="dcterms:W3CDTF">2026-09-30T20:38:00Z</dcterms:created>
  <dcterms:modified xsi:type="dcterms:W3CDTF">2026-10-05T02:00:00Z</dcterms:modified>
</cp:coreProperties>
</file>