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M&amp;E</w:t>
      </w:r>
      <w:r>
        <w:t xml:space="preserve"> </w:t>
      </w:r>
      <w:r>
        <w:t xml:space="preserve">Workflow</w:t>
      </w:r>
      <w:r>
        <w:t xml:space="preserve"> </w:t>
      </w:r>
      <w:r>
        <w:t xml:space="preserve">Engine</w:t>
      </w:r>
      <w:r>
        <w:t xml:space="preserve"> </w:t>
      </w:r>
      <w:r>
        <w:t xml:space="preserve">—</w:t>
      </w:r>
      <w:r>
        <w:t xml:space="preserve"> </w:t>
      </w:r>
      <w:r>
        <w:t xml:space="preserve">Standard</w:t>
      </w:r>
      <w:r>
        <w:t xml:space="preserve"> </w:t>
      </w:r>
      <w:r>
        <w:t xml:space="preserve">Stages</w:t>
      </w:r>
      <w:r>
        <w:t xml:space="preserve"> </w:t>
      </w:r>
      <w:r>
        <w:t xml:space="preserve">and</w:t>
      </w:r>
      <w:r>
        <w:t xml:space="preserve"> </w:t>
      </w:r>
      <w:r>
        <w:t xml:space="preserve">Configurability</w:t>
      </w:r>
      <w:r>
        <w:t xml:space="preserve"> </w:t>
      </w:r>
      <w:r>
        <w:t xml:space="preserve">Specification</w:t>
      </w:r>
    </w:p>
    <w:p>
      <w:pPr>
        <w:pStyle w:val="Subtitle"/>
      </w:pPr>
      <w:r>
        <w:t xml:space="preserve">Response</w:t>
      </w:r>
      <w:r>
        <w:t xml:space="preserve"> </w:t>
      </w:r>
      <w:r>
        <w:t xml:space="preserve">to</w:t>
      </w:r>
      <w:r>
        <w:t xml:space="preserve"> </w:t>
      </w:r>
      <w:r>
        <w:t xml:space="preserve">the</w:t>
      </w:r>
      <w:r>
        <w:t xml:space="preserve"> </w:t>
      </w:r>
      <w:r>
        <w:t xml:space="preserve">development</w:t>
      </w:r>
      <w:r>
        <w:t xml:space="preserve"> </w:t>
      </w:r>
      <w:r>
        <w:t xml:space="preserve">team’s</w:t>
      </w:r>
      <w:r>
        <w:t xml:space="preserve"> </w:t>
      </w:r>
      <w:r>
        <w:t xml:space="preserve">clarification</w:t>
      </w:r>
      <w:r>
        <w:t xml:space="preserve"> </w:t>
      </w:r>
      <w:r>
        <w:t xml:space="preserve">request</w:t>
      </w:r>
    </w:p>
    <w:p>
      <w:pPr>
        <w:pStyle w:val="Date"/>
      </w:pPr>
      <w:r>
        <w:t xml:space="preserve">As</w:t>
      </w:r>
      <w:r>
        <w:t xml:space="preserve"> </w:t>
      </w:r>
      <w:r>
        <w:t xml:space="preserve">at</w:t>
      </w:r>
      <w:r>
        <w:t xml:space="preserve"> </w:t>
      </w:r>
      <w:r>
        <w:t xml:space="preserve">17</w:t>
      </w:r>
      <w:r>
        <w:t xml:space="preserve"> </w:t>
      </w:r>
      <w:r>
        <w:t xml:space="preserve">September</w:t>
      </w:r>
      <w:r>
        <w:t xml:space="preserve"> </w:t>
      </w:r>
      <w:r>
        <w:t xml:space="preserve">2026</w:t>
      </w:r>
    </w:p>
    <w:bookmarkStart w:id="20" w:name="purpose-and-scope"/>
    <w:p>
      <w:pPr>
        <w:pStyle w:val="Heading1"/>
      </w:pPr>
      <w:r>
        <w:t xml:space="preserve">1. Purpose and scope</w:t>
      </w:r>
    </w:p>
    <w:p>
      <w:pPr>
        <w:pStyle w:val="FirstParagraph"/>
      </w:pPr>
      <w:r>
        <w:t xml:space="preserve">The workflow engine must be fully configurable per funding call, seeded with a standard default template that administrators clone and adjust. This document sets out that default template and the configuration each stage must expose.</w:t>
      </w:r>
    </w:p>
    <w:p>
      <w:pPr>
        <w:pStyle w:val="BodyText"/>
      </w:pPr>
      <w:r>
        <w:t xml:space="preserve">It answers the development team’s clarification request on two fronts: the level of configurability required (their questions 1 to 6), and the standard out-of-the-box stages (question 7) with the activities, data, documents, assessments and decisions expected at each.</w:t>
      </w:r>
    </w:p>
    <w:p>
      <w:pPr>
        <w:pStyle w:val="BodyText"/>
      </w:pPr>
      <w:r>
        <w:t xml:space="preserve">Scope runs from publication of a funding call on the public web portal to grant close-out. Calls are published publicly and applicants apply online, so sections 12 and 13 set out the portal and the web-specific requirements that follow from it. Stages 1 to 10 are pre-award assessment; stages 11 to 14 are post-award monitoring and evaluation, where most M&amp;E reporting obligations sit.</w:t>
      </w:r>
    </w:p>
    <w:p>
      <w:pPr>
        <w:pStyle w:val="BodyText"/>
      </w:pPr>
      <w:r>
        <w:t xml:space="preserve">This is a business specification. It states required behaviour, not implementation.</w:t>
      </w:r>
    </w:p>
    <w:bookmarkEnd w:id="20"/>
    <w:bookmarkStart w:id="21" w:name="design-principle"/>
    <w:p>
      <w:pPr>
        <w:pStyle w:val="Heading1"/>
      </w:pPr>
      <w:r>
        <w:t xml:space="preserve">2. Design principle</w:t>
      </w:r>
    </w:p>
    <w:p>
      <w:pPr>
        <w:pStyle w:val="FirstParagraph"/>
      </w:pPr>
      <w:r>
        <w:t xml:space="preserve">Build a configurable engine, then ship the standard stages as seeded data. Do not hard-code the stage list.</w:t>
      </w:r>
    </w:p>
    <w:p>
      <w:pPr>
        <w:pStyle w:val="BodyText"/>
      </w:pPr>
      <w:r>
        <w:t xml:space="preserve">The standard stages in sections 4 and 5 are a default workflow template, not a fixed process. Every funding instrument we run differs: a small bursary call needs screening and approval only, while a large infrastructure grant needs technical review, financial review, due diligence and committee adjudication. Hard-coding stages would force a code change for each new call.</w:t>
      </w:r>
    </w:p>
    <w:p>
      <w:pPr>
        <w:pStyle w:val="BodyText"/>
      </w:pPr>
      <w:r>
        <w:t xml:space="preserve">The practical consequence for build:</w:t>
      </w:r>
    </w:p>
    <w:p>
      <w:pPr>
        <w:numPr>
          <w:ilvl w:val="0"/>
          <w:numId w:val="1001"/>
        </w:numPr>
        <w:pStyle w:val="Compact"/>
      </w:pPr>
      <w:r>
        <w:t xml:space="preserve">Stages, their contents, their roles and their transitions are configuration records, not classes.</w:t>
      </w:r>
    </w:p>
    <w:p>
      <w:pPr>
        <w:numPr>
          <w:ilvl w:val="0"/>
          <w:numId w:val="1001"/>
        </w:numPr>
        <w:pStyle w:val="Compact"/>
      </w:pPr>
      <w:r>
        <w:t xml:space="preserve">The standard template ships as seed data an administrator clones per call.</w:t>
      </w:r>
    </w:p>
    <w:p>
      <w:pPr>
        <w:numPr>
          <w:ilvl w:val="0"/>
          <w:numId w:val="1001"/>
        </w:numPr>
        <w:pStyle w:val="Compact"/>
      </w:pPr>
      <w:r>
        <w:t xml:space="preserve">No stage may be assumed to exist by any other stage. A stage reads data by field key, not by stage position.</w:t>
      </w:r>
    </w:p>
    <w:p>
      <w:pPr>
        <w:numPr>
          <w:ilvl w:val="0"/>
          <w:numId w:val="1001"/>
        </w:numPr>
        <w:pStyle w:val="Compact"/>
      </w:pPr>
      <w:r>
        <w:t xml:space="preserve">Adding a stage type must not require a release.</w:t>
      </w:r>
    </w:p>
    <w:bookmarkEnd w:id="21"/>
    <w:bookmarkStart w:id="22" w:name="core-concepts"/>
    <w:p>
      <w:pPr>
        <w:pStyle w:val="Heading1"/>
      </w:pPr>
      <w:r>
        <w:t xml:space="preserve">3. Core concepts</w:t>
      </w:r>
    </w:p>
    <w:p>
      <w:pPr>
        <w:pStyle w:val="FirstParagraph"/>
      </w:pPr>
      <w:r>
        <w:t xml:space="preserve">Eight objects carry the whole model. Naming them consistently avoids the common confusion between a stage definition and a stage in progress.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Object</w:t>
            </w:r>
          </w:p>
        </w:tc>
        <w:tc>
          <w:tcPr/>
          <w:p>
            <w:pPr>
              <w:pStyle w:val="Compact"/>
              <w:jc w:val="left"/>
            </w:pPr>
            <w:r>
              <w:t xml:space="preserve">What it is</w:t>
            </w:r>
          </w:p>
        </w:tc>
        <w:tc>
          <w:tcPr/>
          <w:p>
            <w:pPr>
              <w:pStyle w:val="Compact"/>
              <w:jc w:val="left"/>
            </w:pPr>
            <w:r>
              <w:t xml:space="preserve">Key relationships</w:t>
            </w:r>
          </w:p>
        </w:tc>
      </w:tr>
      <w:tr>
        <w:tc>
          <w:tcPr/>
          <w:p>
            <w:pPr>
              <w:pStyle w:val="Compact"/>
              <w:jc w:val="left"/>
            </w:pPr>
            <w:r>
              <w:t xml:space="preserve">Funding call</w:t>
            </w:r>
          </w:p>
        </w:tc>
        <w:tc>
          <w:tcPr/>
          <w:p>
            <w:pPr>
              <w:pStyle w:val="Compact"/>
              <w:jc w:val="left"/>
            </w:pPr>
            <w:r>
              <w:t xml:space="preserve">A published funding opportunity with dates, budget and rules</w:t>
            </w:r>
          </w:p>
        </w:tc>
        <w:tc>
          <w:tcPr/>
          <w:p>
            <w:pPr>
              <w:pStyle w:val="Compact"/>
              <w:jc w:val="left"/>
            </w:pPr>
            <w:r>
              <w:t xml:space="preserve">Points to one workflow template version and one eligibility ruleset</w:t>
            </w:r>
          </w:p>
        </w:tc>
      </w:tr>
      <w:tr>
        <w:tc>
          <w:tcPr/>
          <w:p>
            <w:pPr>
              <w:pStyle w:val="Compact"/>
              <w:jc w:val="left"/>
            </w:pPr>
            <w:r>
              <w:t xml:space="preserve">Workflow template</w:t>
            </w:r>
          </w:p>
        </w:tc>
        <w:tc>
          <w:tcPr/>
          <w:p>
            <w:pPr>
              <w:pStyle w:val="Compact"/>
              <w:jc w:val="left"/>
            </w:pPr>
            <w:r>
              <w:t xml:space="preserve">A named, versioned, ordered set of stage definitions</w:t>
            </w:r>
          </w:p>
        </w:tc>
        <w:tc>
          <w:tcPr/>
          <w:p>
            <w:pPr>
              <w:pStyle w:val="Compact"/>
              <w:jc w:val="left"/>
            </w:pPr>
            <w:r>
              <w:t xml:space="preserve">Cloneable; assigned to one or many calls</w:t>
            </w:r>
          </w:p>
        </w:tc>
      </w:tr>
      <w:tr>
        <w:tc>
          <w:tcPr/>
          <w:p>
            <w:pPr>
              <w:pStyle w:val="Compact"/>
              <w:jc w:val="left"/>
            </w:pPr>
            <w:r>
              <w:t xml:space="preserve">Stage definition</w:t>
            </w:r>
          </w:p>
        </w:tc>
        <w:tc>
          <w:tcPr/>
          <w:p>
            <w:pPr>
              <w:pStyle w:val="Compact"/>
              <w:jc w:val="left"/>
            </w:pPr>
            <w:r>
              <w:t xml:space="preserve">One configured step: contents, roles, actions, SLA</w:t>
            </w:r>
          </w:p>
        </w:tc>
        <w:tc>
          <w:tcPr/>
          <w:p>
            <w:pPr>
              <w:pStyle w:val="Compact"/>
              <w:jc w:val="left"/>
            </w:pPr>
            <w:r>
              <w:t xml:space="preserve">Belongs to a template; holds forms, checklists, criteria, documents</w:t>
            </w:r>
          </w:p>
        </w:tc>
      </w:tr>
      <w:tr>
        <w:tc>
          <w:tcPr/>
          <w:p>
            <w:pPr>
              <w:pStyle w:val="Compact"/>
              <w:jc w:val="left"/>
            </w:pPr>
            <w:r>
              <w:t xml:space="preserve">Application</w:t>
            </w:r>
          </w:p>
        </w:tc>
        <w:tc>
          <w:tcPr/>
          <w:p>
            <w:pPr>
              <w:pStyle w:val="Compact"/>
              <w:jc w:val="left"/>
            </w:pPr>
            <w:r>
              <w:t xml:space="preserve">A submission against a call by an applicant</w:t>
            </w:r>
          </w:p>
        </w:tc>
        <w:tc>
          <w:tcPr/>
          <w:p>
            <w:pPr>
              <w:pStyle w:val="Compact"/>
              <w:jc w:val="left"/>
            </w:pPr>
            <w:r>
              <w:t xml:space="preserve">Carries one workflow instance</w:t>
            </w:r>
          </w:p>
        </w:tc>
      </w:tr>
      <w:tr>
        <w:tc>
          <w:tcPr/>
          <w:p>
            <w:pPr>
              <w:pStyle w:val="Compact"/>
              <w:jc w:val="left"/>
            </w:pPr>
            <w:r>
              <w:t xml:space="preserve">Workflow instance</w:t>
            </w:r>
          </w:p>
        </w:tc>
        <w:tc>
          <w:tcPr/>
          <w:p>
            <w:pPr>
              <w:pStyle w:val="Compact"/>
              <w:jc w:val="left"/>
            </w:pPr>
            <w:r>
              <w:t xml:space="preserve">The live path of one application through its template</w:t>
            </w:r>
          </w:p>
        </w:tc>
        <w:tc>
          <w:tcPr/>
          <w:p>
            <w:pPr>
              <w:pStyle w:val="Compact"/>
              <w:jc w:val="left"/>
            </w:pPr>
            <w:r>
              <w:t xml:space="preserve">Frozen to the template version at submission</w:t>
            </w:r>
          </w:p>
        </w:tc>
      </w:tr>
      <w:tr>
        <w:tc>
          <w:tcPr/>
          <w:p>
            <w:pPr>
              <w:pStyle w:val="Compact"/>
              <w:jc w:val="left"/>
            </w:pPr>
            <w:r>
              <w:t xml:space="preserve">Stage instance</w:t>
            </w:r>
          </w:p>
        </w:tc>
        <w:tc>
          <w:tcPr/>
          <w:p>
            <w:pPr>
              <w:pStyle w:val="Compact"/>
              <w:jc w:val="left"/>
            </w:pPr>
            <w:r>
              <w:t xml:space="preserve">One stage as reached by one application</w:t>
            </w:r>
          </w:p>
        </w:tc>
        <w:tc>
          <w:tcPr/>
          <w:p>
            <w:pPr>
              <w:pStyle w:val="Compact"/>
              <w:jc w:val="left"/>
            </w:pPr>
            <w:r>
              <w:t xml:space="preserve">Holds assignments, captured data, decision, timestamps</w:t>
            </w:r>
          </w:p>
        </w:tc>
      </w:tr>
      <w:tr>
        <w:tc>
          <w:tcPr/>
          <w:p>
            <w:pPr>
              <w:pStyle w:val="Compact"/>
              <w:jc w:val="left"/>
            </w:pPr>
            <w:r>
              <w:t xml:space="preserve">Task</w:t>
            </w:r>
          </w:p>
        </w:tc>
        <w:tc>
          <w:tcPr/>
          <w:p>
            <w:pPr>
              <w:pStyle w:val="Compact"/>
              <w:jc w:val="left"/>
            </w:pPr>
            <w:r>
              <w:t xml:space="preserve">A unit of work assigned to a user within a stage instance</w:t>
            </w:r>
          </w:p>
        </w:tc>
        <w:tc>
          <w:tcPr/>
          <w:p>
            <w:pPr>
              <w:pStyle w:val="Compact"/>
              <w:jc w:val="left"/>
            </w:pPr>
            <w:r>
              <w:t xml:space="preserve">Reviewer allocation, approval task, RFI response</w:t>
            </w:r>
          </w:p>
        </w:tc>
      </w:tr>
      <w:tr>
        <w:tc>
          <w:tcPr/>
          <w:p>
            <w:pPr>
              <w:pStyle w:val="Compact"/>
              <w:jc w:val="left"/>
            </w:pPr>
            <w:r>
              <w:t xml:space="preserve">Transition</w:t>
            </w:r>
          </w:p>
        </w:tc>
        <w:tc>
          <w:tcPr/>
          <w:p>
            <w:pPr>
              <w:pStyle w:val="Compact"/>
              <w:jc w:val="left"/>
            </w:pPr>
            <w:r>
              <w:t xml:space="preserve">A rule moving an application from one stage to another</w:t>
            </w:r>
          </w:p>
        </w:tc>
        <w:tc>
          <w:tcPr/>
          <w:p>
            <w:pPr>
              <w:pStyle w:val="Compact"/>
              <w:jc w:val="left"/>
            </w:pPr>
            <w:r>
              <w:t xml:space="preserve">Triggered by an action, gated by a condition</w:t>
            </w:r>
          </w:p>
        </w:tc>
      </w:tr>
    </w:tbl>
    <w:p>
      <w:pPr>
        <w:pStyle w:val="BodyText"/>
      </w:pPr>
      <w:r>
        <w:t xml:space="preserve">Two rules follow from this. First, a workflow instance is bound to the template version live when the application was submitted, so republishing a template never changes the rules under an application already in flight. Second, captured data belongs to the stage instance, so the same field captured at technical review and again at moderation remains two distinct, separately auditable values.</w:t>
      </w:r>
    </w:p>
    <w:bookmarkEnd w:id="22"/>
    <w:bookmarkStart w:id="33" w:name="standard-stages-pre-award"/>
    <w:p>
      <w:pPr>
        <w:pStyle w:val="Heading1"/>
      </w:pPr>
      <w:r>
        <w:t xml:space="preserve">4. Standard stages: pre-award</w:t>
      </w:r>
    </w:p>
    <w:p>
      <w:pPr>
        <w:pStyle w:val="FirstParagraph"/>
      </w:pPr>
      <w:r>
        <w:t xml:space="preserve">Ten stages ship as the default template. Stages marked optional are commonly switched off for small or low-risk calls.</w:t>
      </w:r>
    </w:p>
    <w:p>
      <w:pPr>
        <w:pStyle w:val="BodyText"/>
      </w:pPr>
      <w:r>
        <w:t xml:space="preserve">The default pre-award sequence is:</w:t>
      </w:r>
    </w:p>
    <w:p>
      <w:pPr>
        <w:pStyle w:val="BodyText"/>
      </w:pPr>
      <w:r>
        <w:t xml:space="preserve">Call setup and publication → Application submission → Administrative and eligibility screening → Technical assessment → Financial review → Due diligence and risk → Moderation → Committee review → Approval → Notification and appeals.</w:t>
      </w:r>
    </w:p>
    <w:p>
      <w:pPr>
        <w:pStyle w:val="BodyText"/>
      </w:pPr>
      <w:r>
        <w:t xml:space="preserve">Technical assessment and financial review normally run in parallel, joining before moderation.</w:t>
      </w:r>
    </w:p>
    <w:bookmarkStart w:id="23" w:name="call-setup-and-publication"/>
    <w:p>
      <w:pPr>
        <w:pStyle w:val="Heading2"/>
      </w:pPr>
      <w:r>
        <w:t xml:space="preserve">4.1 Call setup and publication</w:t>
      </w:r>
    </w:p>
    <w:p>
      <w:pPr>
        <w:numPr>
          <w:ilvl w:val="0"/>
          <w:numId w:val="1002"/>
        </w:numPr>
        <w:pStyle w:val="Compact"/>
      </w:pPr>
      <w:r>
        <w:rPr>
          <w:bCs/>
          <w:b/>
        </w:rPr>
        <w:t xml:space="preserve">Activities:</w:t>
      </w:r>
      <w:r>
        <w:t xml:space="preserve"> </w:t>
      </w:r>
      <w:r>
        <w:t xml:space="preserve">define scope, budget envelope, eligibility rules, scoring rubric and weights, required documents, key dates; assign the workflow template; internal QA; publish to the public portal and advertise. Publication is scheduled and reversible, with draft, approved, scheduled, live, closed and archived states.</w:t>
      </w:r>
    </w:p>
    <w:p>
      <w:pPr>
        <w:numPr>
          <w:ilvl w:val="0"/>
          <w:numId w:val="1002"/>
        </w:numPr>
        <w:pStyle w:val="Compact"/>
      </w:pPr>
      <w:r>
        <w:rPr>
          <w:bCs/>
          <w:b/>
        </w:rPr>
        <w:t xml:space="preserve">Capture:</w:t>
      </w:r>
      <w:r>
        <w:t xml:space="preserve"> </w:t>
      </w:r>
      <w:r>
        <w:t xml:space="preserve">call reference, funding instrument, thematic area, total budget, minimum and maximum grant, open and close dates, eligibility ruleset, criteria and weights, document checklist, workflow template version, contact person.</w:t>
      </w:r>
    </w:p>
    <w:p>
      <w:pPr>
        <w:numPr>
          <w:ilvl w:val="0"/>
          <w:numId w:val="1002"/>
        </w:numPr>
        <w:pStyle w:val="Compact"/>
      </w:pPr>
      <w:r>
        <w:rPr>
          <w:bCs/>
          <w:b/>
        </w:rPr>
        <w:t xml:space="preserve">Documents:</w:t>
      </w:r>
      <w:r>
        <w:t xml:space="preserve"> </w:t>
      </w:r>
      <w:r>
        <w:t xml:space="preserve">call guidelines or terms of reference, application template, budget template, FAQ, advert.</w:t>
      </w:r>
    </w:p>
    <w:p>
      <w:pPr>
        <w:numPr>
          <w:ilvl w:val="0"/>
          <w:numId w:val="1002"/>
        </w:numPr>
        <w:pStyle w:val="Compact"/>
      </w:pPr>
      <w:r>
        <w:rPr>
          <w:bCs/>
          <w:b/>
        </w:rPr>
        <w:t xml:space="preserve">Assessment:</w:t>
      </w:r>
      <w:r>
        <w:t xml:space="preserve"> </w:t>
      </w:r>
      <w:r>
        <w:t xml:space="preserve">internal QA plus legal and compliance sign-off on call documents.</w:t>
      </w:r>
    </w:p>
    <w:p>
      <w:pPr>
        <w:numPr>
          <w:ilvl w:val="0"/>
          <w:numId w:val="1002"/>
        </w:numPr>
        <w:pStyle w:val="Compact"/>
      </w:pPr>
      <w:r>
        <w:rPr>
          <w:bCs/>
          <w:b/>
        </w:rPr>
        <w:t xml:space="preserve">Decisions:</w:t>
      </w:r>
      <w:r>
        <w:t xml:space="preserve"> </w:t>
      </w:r>
      <w:r>
        <w:t xml:space="preserve">approve for publication, return for amendment, publish, extend closing date, suspend or withdraw the call.</w:t>
      </w:r>
    </w:p>
    <w:bookmarkEnd w:id="23"/>
    <w:bookmarkStart w:id="24" w:name="application-submission"/>
    <w:p>
      <w:pPr>
        <w:pStyle w:val="Heading2"/>
      </w:pPr>
      <w:r>
        <w:t xml:space="preserve">4.2 Application submission</w:t>
      </w:r>
    </w:p>
    <w:p>
      <w:pPr>
        <w:numPr>
          <w:ilvl w:val="0"/>
          <w:numId w:val="1003"/>
        </w:numPr>
        <w:pStyle w:val="Compact"/>
      </w:pPr>
      <w:r>
        <w:rPr>
          <w:bCs/>
          <w:b/>
        </w:rPr>
        <w:t xml:space="preserve">Activities:</w:t>
      </w:r>
      <w:r>
        <w:t xml:space="preserve"> </w:t>
      </w:r>
      <w:r>
        <w:t xml:space="preserve">applicant self-registration on the portal, organisation profile reuse, autosaved draft capture, validation, online submission, automatic acknowledgement and reference number. Optionally split into concept note then full proposal.</w:t>
      </w:r>
    </w:p>
    <w:p>
      <w:pPr>
        <w:numPr>
          <w:ilvl w:val="0"/>
          <w:numId w:val="1003"/>
        </w:numPr>
        <w:pStyle w:val="Compact"/>
      </w:pPr>
      <w:r>
        <w:rPr>
          <w:bCs/>
          <w:b/>
        </w:rPr>
        <w:t xml:space="preserve">Capture:</w:t>
      </w:r>
      <w:r>
        <w:t xml:space="preserve"> </w:t>
      </w:r>
      <w:r>
        <w:t xml:space="preserve">entity details and registration numbers, tax reference, B-BBEE status, project title and abstract, objectives, duration, amount requested, budget breakdown, co-funding, team and CVs, proposed indicators with baselines and targets, declarations and consent.</w:t>
      </w:r>
    </w:p>
    <w:p>
      <w:pPr>
        <w:numPr>
          <w:ilvl w:val="0"/>
          <w:numId w:val="1003"/>
        </w:numPr>
        <w:pStyle w:val="Compact"/>
      </w:pPr>
      <w:r>
        <w:rPr>
          <w:bCs/>
          <w:b/>
        </w:rPr>
        <w:t xml:space="preserve">Documents:</w:t>
      </w:r>
      <w:r>
        <w:t xml:space="preserve"> </w:t>
      </w:r>
      <w:r>
        <w:t xml:space="preserve">entity registration, tax clearance, audited financial statements, CVs, letters of support, budget, full proposal, ethics or regulatory approvals, banking confirmation.</w:t>
      </w:r>
    </w:p>
    <w:p>
      <w:pPr>
        <w:numPr>
          <w:ilvl w:val="0"/>
          <w:numId w:val="1003"/>
        </w:numPr>
        <w:pStyle w:val="Compact"/>
      </w:pPr>
      <w:r>
        <w:rPr>
          <w:bCs/>
          <w:b/>
        </w:rPr>
        <w:t xml:space="preserve">Assessment:</w:t>
      </w:r>
      <w:r>
        <w:t xml:space="preserve"> </w:t>
      </w:r>
      <w:r>
        <w:t xml:space="preserve">system validation only — mandatory fields, document completeness, budget arithmetic, deadline enforcement.</w:t>
      </w:r>
    </w:p>
    <w:p>
      <w:pPr>
        <w:numPr>
          <w:ilvl w:val="0"/>
          <w:numId w:val="1003"/>
        </w:numPr>
        <w:pStyle w:val="Compact"/>
      </w:pPr>
      <w:r>
        <w:rPr>
          <w:bCs/>
          <w:b/>
        </w:rPr>
        <w:t xml:space="preserve">Decisions:</w:t>
      </w:r>
      <w:r>
        <w:t xml:space="preserve"> </w:t>
      </w:r>
      <w:r>
        <w:t xml:space="preserve">save draft, submit, withdraw. The system accepts or rejects late submission per call configuration.</w:t>
      </w:r>
    </w:p>
    <w:bookmarkEnd w:id="24"/>
    <w:bookmarkStart w:id="25" w:name="administrative-and-eligibility-screening"/>
    <w:p>
      <w:pPr>
        <w:pStyle w:val="Heading2"/>
      </w:pPr>
      <w:r>
        <w:t xml:space="preserve">4.3 Administrative and eligibility screening</w:t>
      </w:r>
    </w:p>
    <w:p>
      <w:pPr>
        <w:numPr>
          <w:ilvl w:val="0"/>
          <w:numId w:val="1004"/>
        </w:numPr>
        <w:pStyle w:val="Compact"/>
      </w:pPr>
      <w:r>
        <w:rPr>
          <w:bCs/>
          <w:b/>
        </w:rPr>
        <w:t xml:space="preserve">Activities:</w:t>
      </w:r>
      <w:r>
        <w:t xml:space="preserve"> </w:t>
      </w:r>
      <w:r>
        <w:t xml:space="preserve">completeness check against the checklist, verify documents are valid and unexpired, apply the eligibility ruleset, issue requests for information with a clock-stop.</w:t>
      </w:r>
    </w:p>
    <w:p>
      <w:pPr>
        <w:numPr>
          <w:ilvl w:val="0"/>
          <w:numId w:val="1004"/>
        </w:numPr>
        <w:pStyle w:val="Compact"/>
      </w:pPr>
      <w:r>
        <w:rPr>
          <w:bCs/>
          <w:b/>
        </w:rPr>
        <w:t xml:space="preserve">Capture:</w:t>
      </w:r>
      <w:r>
        <w:t xml:space="preserve"> </w:t>
      </w:r>
      <w:r>
        <w:t xml:space="preserve">checklist responses with verification notes, document validity dates, screener identity and date, outcome with a standardised reason code.</w:t>
      </w:r>
    </w:p>
    <w:p>
      <w:pPr>
        <w:numPr>
          <w:ilvl w:val="0"/>
          <w:numId w:val="1004"/>
        </w:numPr>
        <w:pStyle w:val="Compact"/>
      </w:pPr>
      <w:r>
        <w:rPr>
          <w:bCs/>
          <w:b/>
        </w:rPr>
        <w:t xml:space="preserve">Documents:</w:t>
      </w:r>
      <w:r>
        <w:t xml:space="preserve"> </w:t>
      </w:r>
      <w:r>
        <w:t xml:space="preserve">screening checklist, verification evidence such as registry or tax PIN verification, RFI correspondence.</w:t>
      </w:r>
    </w:p>
    <w:p>
      <w:pPr>
        <w:numPr>
          <w:ilvl w:val="0"/>
          <w:numId w:val="1004"/>
        </w:numPr>
        <w:pStyle w:val="Compact"/>
      </w:pPr>
      <w:r>
        <w:rPr>
          <w:bCs/>
          <w:b/>
        </w:rPr>
        <w:t xml:space="preserve">Assessment:</w:t>
      </w:r>
      <w:r>
        <w:t xml:space="preserve"> </w:t>
      </w:r>
      <w:r>
        <w:t xml:space="preserve">rules-based pass or fail, including threshold and computed rules (section 7).</w:t>
      </w:r>
    </w:p>
    <w:p>
      <w:pPr>
        <w:numPr>
          <w:ilvl w:val="0"/>
          <w:numId w:val="1004"/>
        </w:numPr>
        <w:pStyle w:val="Compact"/>
      </w:pPr>
      <w:r>
        <w:rPr>
          <w:bCs/>
          <w:b/>
        </w:rPr>
        <w:t xml:space="preserve">Decisions:</w:t>
      </w:r>
      <w:r>
        <w:t xml:space="preserve"> </w:t>
      </w:r>
      <w:r>
        <w:t xml:space="preserve">eligible and advance, ineligible and reject with reason, request additional information, refer for internal clarification.</w:t>
      </w:r>
    </w:p>
    <w:bookmarkEnd w:id="25"/>
    <w:bookmarkStart w:id="26" w:name="technical-or-scientific-assessment"/>
    <w:p>
      <w:pPr>
        <w:pStyle w:val="Heading2"/>
      </w:pPr>
      <w:r>
        <w:t xml:space="preserve">4.4 Technical or scientific assessment</w:t>
      </w:r>
    </w:p>
    <w:p>
      <w:pPr>
        <w:numPr>
          <w:ilvl w:val="0"/>
          <w:numId w:val="1005"/>
        </w:numPr>
        <w:pStyle w:val="Compact"/>
      </w:pPr>
      <w:r>
        <w:rPr>
          <w:bCs/>
          <w:b/>
        </w:rPr>
        <w:t xml:space="preserve">Activities:</w:t>
      </w:r>
      <w:r>
        <w:t xml:space="preserve"> </w:t>
      </w:r>
      <w:r>
        <w:t xml:space="preserve">reviewer allocation by expertise, conflict-of-interest declaration, independent scoring, written commentary, optional applicant right of reply.</w:t>
      </w:r>
    </w:p>
    <w:p>
      <w:pPr>
        <w:numPr>
          <w:ilvl w:val="0"/>
          <w:numId w:val="1005"/>
        </w:numPr>
        <w:pStyle w:val="Compact"/>
      </w:pPr>
      <w:r>
        <w:rPr>
          <w:bCs/>
          <w:b/>
        </w:rPr>
        <w:t xml:space="preserve">Capture:</w:t>
      </w:r>
      <w:r>
        <w:t xml:space="preserve"> </w:t>
      </w:r>
      <w:r>
        <w:t xml:space="preserve">allocations, COI declarations, score per criterion with weighted total, strengths and weaknesses, recommended amount and conditions, reviewer confidence rating.</w:t>
      </w:r>
    </w:p>
    <w:p>
      <w:pPr>
        <w:numPr>
          <w:ilvl w:val="0"/>
          <w:numId w:val="1005"/>
        </w:numPr>
        <w:pStyle w:val="Compact"/>
      </w:pPr>
      <w:r>
        <w:rPr>
          <w:bCs/>
          <w:b/>
        </w:rPr>
        <w:t xml:space="preserve">Documents:</w:t>
      </w:r>
      <w:r>
        <w:t xml:space="preserve"> </w:t>
      </w:r>
      <w:r>
        <w:t xml:space="preserve">signed COI and confidentiality undertakings, individual review reports, scoring rubric.</w:t>
      </w:r>
    </w:p>
    <w:p>
      <w:pPr>
        <w:numPr>
          <w:ilvl w:val="0"/>
          <w:numId w:val="1005"/>
        </w:numPr>
        <w:pStyle w:val="Compact"/>
      </w:pPr>
      <w:r>
        <w:rPr>
          <w:bCs/>
          <w:b/>
        </w:rPr>
        <w:t xml:space="preserve">Assessment:</w:t>
      </w:r>
      <w:r>
        <w:t xml:space="preserve"> </w:t>
      </w:r>
      <w:r>
        <w:t xml:space="preserve">weighted scoring against criteria with minimum thresholds, a minimum number of completed reviews, outlier detection.</w:t>
      </w:r>
    </w:p>
    <w:p>
      <w:pPr>
        <w:numPr>
          <w:ilvl w:val="0"/>
          <w:numId w:val="1005"/>
        </w:numPr>
        <w:pStyle w:val="Compact"/>
      </w:pPr>
      <w:r>
        <w:rPr>
          <w:bCs/>
          <w:b/>
        </w:rPr>
        <w:t xml:space="preserve">Decisions:</w:t>
      </w:r>
      <w:r>
        <w:t xml:space="preserve"> </w:t>
      </w:r>
      <w:r>
        <w:t xml:space="preserve">recommend, recommend with conditions, do not recommend, appoint an additional reviewer, return to applicant for clarification, escalate a scoring discrepancy to moderation.</w:t>
      </w:r>
    </w:p>
    <w:bookmarkEnd w:id="26"/>
    <w:bookmarkStart w:id="27" w:name="financial-and-budget-review"/>
    <w:p>
      <w:pPr>
        <w:pStyle w:val="Heading2"/>
      </w:pPr>
      <w:r>
        <w:t xml:space="preserve">4.5 Financial and budget review</w:t>
      </w:r>
    </w:p>
    <w:p>
      <w:pPr>
        <w:numPr>
          <w:ilvl w:val="0"/>
          <w:numId w:val="1006"/>
        </w:numPr>
        <w:pStyle w:val="Compact"/>
      </w:pPr>
      <w:r>
        <w:rPr>
          <w:bCs/>
          <w:b/>
        </w:rPr>
        <w:t xml:space="preserve">Activities:</w:t>
      </w:r>
      <w:r>
        <w:t xml:space="preserve"> </w:t>
      </w:r>
      <w:r>
        <w:t xml:space="preserve">line-by-line budget scrutiny, eligibility of cost items, value for money, co-funding confirmation, entity financial viability, proposed disbursement schedule.</w:t>
      </w:r>
    </w:p>
    <w:p>
      <w:pPr>
        <w:numPr>
          <w:ilvl w:val="0"/>
          <w:numId w:val="1006"/>
        </w:numPr>
        <w:pStyle w:val="Compact"/>
      </w:pPr>
      <w:r>
        <w:rPr>
          <w:bCs/>
          <w:b/>
        </w:rPr>
        <w:t xml:space="preserve">Capture:</w:t>
      </w:r>
      <w:r>
        <w:t xml:space="preserve"> </w:t>
      </w:r>
      <w:r>
        <w:t xml:space="preserve">per-line assessment, disallowed costs, adjusted budget and recommended amount, liquidity and solvency indicators, VAT status, proposed payment schedule.</w:t>
      </w:r>
    </w:p>
    <w:p>
      <w:pPr>
        <w:numPr>
          <w:ilvl w:val="0"/>
          <w:numId w:val="1006"/>
        </w:numPr>
        <w:pStyle w:val="Compact"/>
      </w:pPr>
      <w:r>
        <w:rPr>
          <w:bCs/>
          <w:b/>
        </w:rPr>
        <w:t xml:space="preserve">Documents:</w:t>
      </w:r>
      <w:r>
        <w:t xml:space="preserve"> </w:t>
      </w:r>
      <w:r>
        <w:t xml:space="preserve">annual financial statements, management accounts, budget narrative, quotations for capital items, banking confirmation, financial review memo.</w:t>
      </w:r>
    </w:p>
    <w:p>
      <w:pPr>
        <w:numPr>
          <w:ilvl w:val="0"/>
          <w:numId w:val="1006"/>
        </w:numPr>
        <w:pStyle w:val="Compact"/>
      </w:pPr>
      <w:r>
        <w:rPr>
          <w:bCs/>
          <w:b/>
        </w:rPr>
        <w:t xml:space="preserve">Assessment:</w:t>
      </w:r>
      <w:r>
        <w:t xml:space="preserve"> </w:t>
      </w:r>
      <w:r>
        <w:t xml:space="preserve">compliance with cost guidelines plus a financial health rating.</w:t>
      </w:r>
    </w:p>
    <w:p>
      <w:pPr>
        <w:numPr>
          <w:ilvl w:val="0"/>
          <w:numId w:val="1006"/>
        </w:numPr>
        <w:pStyle w:val="Compact"/>
      </w:pPr>
      <w:r>
        <w:rPr>
          <w:bCs/>
          <w:b/>
        </w:rPr>
        <w:t xml:space="preserve">Decisions:</w:t>
      </w:r>
      <w:r>
        <w:t xml:space="preserve"> </w:t>
      </w:r>
      <w:r>
        <w:t xml:space="preserve">approve as submitted, approve with adjustments, request a revised budget, not supported.</w:t>
      </w:r>
    </w:p>
    <w:bookmarkEnd w:id="27"/>
    <w:bookmarkStart w:id="28" w:name="Xabc7ba9ea22831fef1191d537cbe01722498aa4"/>
    <w:p>
      <w:pPr>
        <w:pStyle w:val="Heading2"/>
      </w:pPr>
      <w:r>
        <w:t xml:space="preserve">4.6 Due diligence and risk assessment (optional)</w:t>
      </w:r>
    </w:p>
    <w:p>
      <w:pPr>
        <w:numPr>
          <w:ilvl w:val="0"/>
          <w:numId w:val="1007"/>
        </w:numPr>
        <w:pStyle w:val="Compact"/>
      </w:pPr>
      <w:r>
        <w:rPr>
          <w:bCs/>
          <w:b/>
        </w:rPr>
        <w:t xml:space="preserve">Activities:</w:t>
      </w:r>
      <w:r>
        <w:t xml:space="preserve"> </w:t>
      </w:r>
      <w:r>
        <w:t xml:space="preserve">entity and governance verification, site or virtual visit, capacity assessment, compliance and debarment screening, prior grant performance lookup, risk rating with mitigations.</w:t>
      </w:r>
    </w:p>
    <w:p>
      <w:pPr>
        <w:numPr>
          <w:ilvl w:val="0"/>
          <w:numId w:val="1007"/>
        </w:numPr>
        <w:pStyle w:val="Compact"/>
      </w:pPr>
      <w:r>
        <w:rPr>
          <w:bCs/>
          <w:b/>
        </w:rPr>
        <w:t xml:space="preserve">Capture:</w:t>
      </w:r>
      <w:r>
        <w:t xml:space="preserve"> </w:t>
      </w:r>
      <w:r>
        <w:t xml:space="preserve">verification results, risk rating per category (financial, delivery, governance, fraud), mitigation measures, prior funding history and performance scores.</w:t>
      </w:r>
    </w:p>
    <w:p>
      <w:pPr>
        <w:numPr>
          <w:ilvl w:val="0"/>
          <w:numId w:val="1007"/>
        </w:numPr>
        <w:pStyle w:val="Compact"/>
      </w:pPr>
      <w:r>
        <w:rPr>
          <w:bCs/>
          <w:b/>
        </w:rPr>
        <w:t xml:space="preserve">Documents:</w:t>
      </w:r>
      <w:r>
        <w:t xml:space="preserve"> </w:t>
      </w:r>
      <w:r>
        <w:t xml:space="preserve">due diligence or site visit report, tax status confirmation, screening results, prior-grant performance report.</w:t>
      </w:r>
    </w:p>
    <w:p>
      <w:pPr>
        <w:numPr>
          <w:ilvl w:val="0"/>
          <w:numId w:val="1007"/>
        </w:numPr>
        <w:pStyle w:val="Compact"/>
      </w:pPr>
      <w:r>
        <w:rPr>
          <w:bCs/>
          <w:b/>
        </w:rPr>
        <w:t xml:space="preserve">Assessment:</w:t>
      </w:r>
      <w:r>
        <w:t xml:space="preserve"> </w:t>
      </w:r>
      <w:r>
        <w:t xml:space="preserve">a risk scorecard. The resulting rating should drive monitoring intensity and payment modality downstream, so it must be readable by stages 5.12 and 5.13.</w:t>
      </w:r>
    </w:p>
    <w:p>
      <w:pPr>
        <w:numPr>
          <w:ilvl w:val="0"/>
          <w:numId w:val="1007"/>
        </w:numPr>
        <w:pStyle w:val="Compact"/>
      </w:pPr>
      <w:r>
        <w:rPr>
          <w:bCs/>
          <w:b/>
        </w:rPr>
        <w:t xml:space="preserve">Decisions:</w:t>
      </w:r>
      <w:r>
        <w:t xml:space="preserve"> </w:t>
      </w:r>
      <w:r>
        <w:t xml:space="preserve">proceed, proceed with conditions, decline on risk grounds, further verification required.</w:t>
      </w:r>
    </w:p>
    <w:bookmarkEnd w:id="28"/>
    <w:bookmarkStart w:id="29" w:name="moderation-and-consolidation"/>
    <w:p>
      <w:pPr>
        <w:pStyle w:val="Heading2"/>
      </w:pPr>
      <w:r>
        <w:t xml:space="preserve">4.7 Moderation and consolidation</w:t>
      </w:r>
    </w:p>
    <w:p>
      <w:pPr>
        <w:numPr>
          <w:ilvl w:val="0"/>
          <w:numId w:val="1008"/>
        </w:numPr>
        <w:pStyle w:val="Compact"/>
      </w:pPr>
      <w:r>
        <w:rPr>
          <w:bCs/>
          <w:b/>
        </w:rPr>
        <w:t xml:space="preserve">Activities:</w:t>
      </w:r>
      <w:r>
        <w:t xml:space="preserve"> </w:t>
      </w:r>
      <w:r>
        <w:t xml:space="preserve">consolidate and normalise scores, resolve outliers, rank, apply portfolio considerations such as thematic spread and transformation or geographic targets, draft a shortlist within the budget envelope.</w:t>
      </w:r>
    </w:p>
    <w:p>
      <w:pPr>
        <w:numPr>
          <w:ilvl w:val="0"/>
          <w:numId w:val="1008"/>
        </w:numPr>
        <w:pStyle w:val="Compact"/>
      </w:pPr>
      <w:r>
        <w:rPr>
          <w:bCs/>
          <w:b/>
        </w:rPr>
        <w:t xml:space="preserve">Capture:</w:t>
      </w:r>
      <w:r>
        <w:t xml:space="preserve"> </w:t>
      </w:r>
      <w:r>
        <w:t xml:space="preserve">consolidated score and rank, adjustments with justification, panel attendance, provisional allocations.</w:t>
      </w:r>
    </w:p>
    <w:p>
      <w:pPr>
        <w:numPr>
          <w:ilvl w:val="0"/>
          <w:numId w:val="1008"/>
        </w:numPr>
        <w:pStyle w:val="Compact"/>
      </w:pPr>
      <w:r>
        <w:rPr>
          <w:bCs/>
          <w:b/>
        </w:rPr>
        <w:t xml:space="preserve">Documents:</w:t>
      </w:r>
      <w:r>
        <w:t xml:space="preserve"> </w:t>
      </w:r>
      <w:r>
        <w:t xml:space="preserve">moderation report, ranked list, attendance register, declarations.</w:t>
      </w:r>
    </w:p>
    <w:p>
      <w:pPr>
        <w:numPr>
          <w:ilvl w:val="0"/>
          <w:numId w:val="1008"/>
        </w:numPr>
        <w:pStyle w:val="Compact"/>
      </w:pPr>
      <w:r>
        <w:rPr>
          <w:bCs/>
          <w:b/>
        </w:rPr>
        <w:t xml:space="preserve">Assessment:</w:t>
      </w:r>
      <w:r>
        <w:t xml:space="preserve"> </w:t>
      </w:r>
      <w:r>
        <w:t xml:space="preserve">comparative ranking against the cut-off and budget fit.</w:t>
      </w:r>
    </w:p>
    <w:p>
      <w:pPr>
        <w:numPr>
          <w:ilvl w:val="0"/>
          <w:numId w:val="1008"/>
        </w:numPr>
        <w:pStyle w:val="Compact"/>
      </w:pPr>
      <w:r>
        <w:rPr>
          <w:bCs/>
          <w:b/>
        </w:rPr>
        <w:t xml:space="preserve">Decisions:</w:t>
      </w:r>
      <w:r>
        <w:t xml:space="preserve"> </w:t>
      </w:r>
      <w:r>
        <w:t xml:space="preserve">shortlist for committee, place on reserve list, unsuccessful, return for re-review.</w:t>
      </w:r>
    </w:p>
    <w:bookmarkEnd w:id="29"/>
    <w:bookmarkStart w:id="30" w:name="committee-or-adjudication-review"/>
    <w:p>
      <w:pPr>
        <w:pStyle w:val="Heading2"/>
      </w:pPr>
      <w:r>
        <w:t xml:space="preserve">4.8 Committee or adjudication review</w:t>
      </w:r>
    </w:p>
    <w:p>
      <w:pPr>
        <w:numPr>
          <w:ilvl w:val="0"/>
          <w:numId w:val="1009"/>
        </w:numPr>
        <w:pStyle w:val="Compact"/>
      </w:pPr>
      <w:r>
        <w:rPr>
          <w:bCs/>
          <w:b/>
        </w:rPr>
        <w:t xml:space="preserve">Activities:</w:t>
      </w:r>
      <w:r>
        <w:t xml:space="preserve"> </w:t>
      </w:r>
      <w:r>
        <w:t xml:space="preserve">table recommendations, deliberate, apply strategic priorities, resolve on awards, amounts and conditions.</w:t>
      </w:r>
    </w:p>
    <w:p>
      <w:pPr>
        <w:numPr>
          <w:ilvl w:val="0"/>
          <w:numId w:val="1009"/>
        </w:numPr>
        <w:pStyle w:val="Compact"/>
      </w:pPr>
      <w:r>
        <w:rPr>
          <w:bCs/>
          <w:b/>
        </w:rPr>
        <w:t xml:space="preserve">Capture:</w:t>
      </w:r>
      <w:r>
        <w:t xml:space="preserve"> </w:t>
      </w:r>
      <w:r>
        <w:t xml:space="preserve">agenda item, quorum, COI declarations, resolution number, recommended amount and conditions per application, dissenting views.</w:t>
      </w:r>
    </w:p>
    <w:p>
      <w:pPr>
        <w:numPr>
          <w:ilvl w:val="0"/>
          <w:numId w:val="1009"/>
        </w:numPr>
        <w:pStyle w:val="Compact"/>
      </w:pPr>
      <w:r>
        <w:rPr>
          <w:bCs/>
          <w:b/>
        </w:rPr>
        <w:t xml:space="preserve">Documents:</w:t>
      </w:r>
      <w:r>
        <w:t xml:space="preserve"> </w:t>
      </w:r>
      <w:r>
        <w:t xml:space="preserve">committee pack, minutes, resolution register, signed attendance and COI forms.</w:t>
      </w:r>
    </w:p>
    <w:p>
      <w:pPr>
        <w:numPr>
          <w:ilvl w:val="0"/>
          <w:numId w:val="1009"/>
        </w:numPr>
        <w:pStyle w:val="Compact"/>
      </w:pPr>
      <w:r>
        <w:rPr>
          <w:bCs/>
          <w:b/>
        </w:rPr>
        <w:t xml:space="preserve">Assessment:</w:t>
      </w:r>
      <w:r>
        <w:t xml:space="preserve"> </w:t>
      </w:r>
      <w:r>
        <w:t xml:space="preserve">strategic alignment, portfolio balance, confirmation of budget availability.</w:t>
      </w:r>
    </w:p>
    <w:p>
      <w:pPr>
        <w:numPr>
          <w:ilvl w:val="0"/>
          <w:numId w:val="1009"/>
        </w:numPr>
        <w:pStyle w:val="Compact"/>
      </w:pPr>
      <w:r>
        <w:rPr>
          <w:bCs/>
          <w:b/>
        </w:rPr>
        <w:t xml:space="preserve">Decisions:</w:t>
      </w:r>
      <w:r>
        <w:t xml:space="preserve"> </w:t>
      </w:r>
      <w:r>
        <w:t xml:space="preserve">recommend for approval, defer pending information, decline, place on reserve list.</w:t>
      </w:r>
    </w:p>
    <w:bookmarkEnd w:id="30"/>
    <w:bookmarkStart w:id="31" w:name="approval-and-award-decision"/>
    <w:p>
      <w:pPr>
        <w:pStyle w:val="Heading2"/>
      </w:pPr>
      <w:r>
        <w:t xml:space="preserve">4.9 Approval and award decision</w:t>
      </w:r>
    </w:p>
    <w:p>
      <w:pPr>
        <w:numPr>
          <w:ilvl w:val="0"/>
          <w:numId w:val="1010"/>
        </w:numPr>
        <w:pStyle w:val="Compact"/>
      </w:pPr>
      <w:r>
        <w:rPr>
          <w:bCs/>
          <w:b/>
        </w:rPr>
        <w:t xml:space="preserve">Activities:</w:t>
      </w:r>
      <w:r>
        <w:t xml:space="preserve"> </w:t>
      </w:r>
      <w:r>
        <w:t xml:space="preserve">route to the correct delegated authority by value band, confirm budget availability, sign off, raise the commitment.</w:t>
      </w:r>
    </w:p>
    <w:p>
      <w:pPr>
        <w:numPr>
          <w:ilvl w:val="0"/>
          <w:numId w:val="1010"/>
        </w:numPr>
        <w:pStyle w:val="Compact"/>
      </w:pPr>
      <w:r>
        <w:rPr>
          <w:bCs/>
          <w:b/>
        </w:rPr>
        <w:t xml:space="preserve">Capture:</w:t>
      </w:r>
      <w:r>
        <w:t xml:space="preserve"> </w:t>
      </w:r>
      <w:r>
        <w:t xml:space="preserve">approver and delegation level, approval date, approved amount, conditions precedent, funding source and cost centre.</w:t>
      </w:r>
    </w:p>
    <w:p>
      <w:pPr>
        <w:numPr>
          <w:ilvl w:val="0"/>
          <w:numId w:val="1010"/>
        </w:numPr>
        <w:pStyle w:val="Compact"/>
      </w:pPr>
      <w:r>
        <w:rPr>
          <w:bCs/>
          <w:b/>
        </w:rPr>
        <w:t xml:space="preserve">Documents:</w:t>
      </w:r>
      <w:r>
        <w:t xml:space="preserve"> </w:t>
      </w:r>
      <w:r>
        <w:t xml:space="preserve">approval memo, signed resolution, delegation of authority evidence.</w:t>
      </w:r>
    </w:p>
    <w:p>
      <w:pPr>
        <w:numPr>
          <w:ilvl w:val="0"/>
          <w:numId w:val="1010"/>
        </w:numPr>
        <w:pStyle w:val="Compact"/>
      </w:pPr>
      <w:r>
        <w:rPr>
          <w:bCs/>
          <w:b/>
        </w:rPr>
        <w:t xml:space="preserve">Assessment:</w:t>
      </w:r>
      <w:r>
        <w:t xml:space="preserve"> </w:t>
      </w:r>
      <w:r>
        <w:t xml:space="preserve">compliance with the delegation framework and available budget.</w:t>
      </w:r>
    </w:p>
    <w:p>
      <w:pPr>
        <w:numPr>
          <w:ilvl w:val="0"/>
          <w:numId w:val="1010"/>
        </w:numPr>
        <w:pStyle w:val="Compact"/>
      </w:pPr>
      <w:r>
        <w:rPr>
          <w:bCs/>
          <w:b/>
        </w:rPr>
        <w:t xml:space="preserve">Decisions:</w:t>
      </w:r>
      <w:r>
        <w:t xml:space="preserve"> </w:t>
      </w:r>
      <w:r>
        <w:t xml:space="preserve">approve, approve with conditions, partially approve at a reduced amount, decline, refer back to committee.</w:t>
      </w:r>
    </w:p>
    <w:bookmarkEnd w:id="31"/>
    <w:bookmarkStart w:id="32" w:name="notification-feedback-and-appeals"/>
    <w:p>
      <w:pPr>
        <w:pStyle w:val="Heading2"/>
      </w:pPr>
      <w:r>
        <w:t xml:space="preserve">4.10 Notification, feedback and appeals</w:t>
      </w:r>
    </w:p>
    <w:p>
      <w:pPr>
        <w:numPr>
          <w:ilvl w:val="0"/>
          <w:numId w:val="1011"/>
        </w:numPr>
        <w:pStyle w:val="Compact"/>
      </w:pPr>
      <w:r>
        <w:rPr>
          <w:bCs/>
          <w:b/>
        </w:rPr>
        <w:t xml:space="preserve">Activities:</w:t>
      </w:r>
      <w:r>
        <w:t xml:space="preserve"> </w:t>
      </w:r>
      <w:r>
        <w:t xml:space="preserve">issue outcome letters, release feedback, manage appeals within a defined window.</w:t>
      </w:r>
    </w:p>
    <w:p>
      <w:pPr>
        <w:numPr>
          <w:ilvl w:val="0"/>
          <w:numId w:val="1011"/>
        </w:numPr>
        <w:pStyle w:val="Compact"/>
      </w:pPr>
      <w:r>
        <w:rPr>
          <w:bCs/>
          <w:b/>
        </w:rPr>
        <w:t xml:space="preserve">Capture:</w:t>
      </w:r>
      <w:r>
        <w:t xml:space="preserve"> </w:t>
      </w:r>
      <w:r>
        <w:t xml:space="preserve">notification date and channel, applicant acknowledgement, appeal date and grounds, appeal outcome and rationale.</w:t>
      </w:r>
    </w:p>
    <w:p>
      <w:pPr>
        <w:numPr>
          <w:ilvl w:val="0"/>
          <w:numId w:val="1011"/>
        </w:numPr>
        <w:pStyle w:val="Compact"/>
      </w:pPr>
      <w:r>
        <w:rPr>
          <w:bCs/>
          <w:b/>
        </w:rPr>
        <w:t xml:space="preserve">Documents:</w:t>
      </w:r>
      <w:r>
        <w:t xml:space="preserve"> </w:t>
      </w:r>
      <w:r>
        <w:t xml:space="preserve">award and regret letters, feedback report, appeal submission, appeal ruling.</w:t>
      </w:r>
    </w:p>
    <w:p>
      <w:pPr>
        <w:numPr>
          <w:ilvl w:val="0"/>
          <w:numId w:val="1011"/>
        </w:numPr>
        <w:pStyle w:val="Compact"/>
      </w:pPr>
      <w:r>
        <w:rPr>
          <w:bCs/>
          <w:b/>
        </w:rPr>
        <w:t xml:space="preserve">Assessment:</w:t>
      </w:r>
      <w:r>
        <w:t xml:space="preserve"> </w:t>
      </w:r>
      <w:r>
        <w:t xml:space="preserve">review against process compliance, not re-adjudication of merit.</w:t>
      </w:r>
    </w:p>
    <w:p>
      <w:pPr>
        <w:numPr>
          <w:ilvl w:val="0"/>
          <w:numId w:val="1011"/>
        </w:numPr>
        <w:pStyle w:val="Compact"/>
      </w:pPr>
      <w:r>
        <w:rPr>
          <w:bCs/>
          <w:b/>
        </w:rPr>
        <w:t xml:space="preserve">Decisions:</w:t>
      </w:r>
      <w:r>
        <w:t xml:space="preserve"> </w:t>
      </w:r>
      <w:r>
        <w:t xml:space="preserve">uphold the original decision, uphold the appeal and return to the relevant stage, partially uphold.</w:t>
      </w:r>
    </w:p>
    <w:bookmarkEnd w:id="32"/>
    <w:bookmarkEnd w:id="33"/>
    <w:bookmarkStart w:id="38" w:name="standard-stages-post-award"/>
    <w:p>
      <w:pPr>
        <w:pStyle w:val="Heading1"/>
      </w:pPr>
      <w:r>
        <w:t xml:space="preserve">5. Standard stages: post-award</w:t>
      </w:r>
    </w:p>
    <w:p>
      <w:pPr>
        <w:pStyle w:val="FirstParagraph"/>
      </w:pPr>
      <w:r>
        <w:t xml:space="preserve">Four further stages carry the grant from award to close-out. Stages 12 and 13 repeat per tranche and per reporting period respectively, so the engine must support looping stages, not only a linear path.</w:t>
      </w:r>
    </w:p>
    <w:bookmarkStart w:id="34" w:name="contracting-and-conditions-precedent"/>
    <w:p>
      <w:pPr>
        <w:pStyle w:val="Heading2"/>
      </w:pPr>
      <w:r>
        <w:t xml:space="preserve">5.11 Contracting and conditions precedent</w:t>
      </w:r>
    </w:p>
    <w:p>
      <w:pPr>
        <w:numPr>
          <w:ilvl w:val="0"/>
          <w:numId w:val="1012"/>
        </w:numPr>
        <w:pStyle w:val="Compact"/>
      </w:pPr>
      <w:r>
        <w:rPr>
          <w:bCs/>
          <w:b/>
        </w:rPr>
        <w:t xml:space="preserve">Activities:</w:t>
      </w:r>
      <w:r>
        <w:t xml:space="preserve"> </w:t>
      </w:r>
      <w:r>
        <w:t xml:space="preserve">generate the agreement, negotiate milestones and indicators, verify conditions precedent, electronic signature.</w:t>
      </w:r>
    </w:p>
    <w:p>
      <w:pPr>
        <w:numPr>
          <w:ilvl w:val="0"/>
          <w:numId w:val="1012"/>
        </w:numPr>
        <w:pStyle w:val="Compact"/>
      </w:pPr>
      <w:r>
        <w:rPr>
          <w:bCs/>
          <w:b/>
        </w:rPr>
        <w:t xml:space="preserve">Capture:</w:t>
      </w:r>
      <w:r>
        <w:t xml:space="preserve"> </w:t>
      </w:r>
      <w:r>
        <w:t xml:space="preserve">contract number, start and end dates, approved budget and payment schedule, milestones, M&amp;E indicators with baselines and targets, reporting calendar, signatories.</w:t>
      </w:r>
    </w:p>
    <w:p>
      <w:pPr>
        <w:numPr>
          <w:ilvl w:val="0"/>
          <w:numId w:val="1012"/>
        </w:numPr>
        <w:pStyle w:val="Compact"/>
      </w:pPr>
      <w:r>
        <w:rPr>
          <w:bCs/>
          <w:b/>
        </w:rPr>
        <w:t xml:space="preserve">Documents:</w:t>
      </w:r>
      <w:r>
        <w:t xml:space="preserve"> </w:t>
      </w:r>
      <w:r>
        <w:t xml:space="preserve">signed funding agreement and annexures (workplan, budget, M&amp;E framework), banking verification, insurance, ethics approvals.</w:t>
      </w:r>
    </w:p>
    <w:p>
      <w:pPr>
        <w:numPr>
          <w:ilvl w:val="0"/>
          <w:numId w:val="1012"/>
        </w:numPr>
        <w:pStyle w:val="Compact"/>
      </w:pPr>
      <w:r>
        <w:rPr>
          <w:bCs/>
          <w:b/>
        </w:rPr>
        <w:t xml:space="preserve">Assessment:</w:t>
      </w:r>
      <w:r>
        <w:t xml:space="preserve"> </w:t>
      </w:r>
      <w:r>
        <w:t xml:space="preserve">conditions precedent verification checklist.</w:t>
      </w:r>
    </w:p>
    <w:p>
      <w:pPr>
        <w:numPr>
          <w:ilvl w:val="0"/>
          <w:numId w:val="1012"/>
        </w:numPr>
        <w:pStyle w:val="Compact"/>
      </w:pPr>
      <w:r>
        <w:rPr>
          <w:bCs/>
          <w:b/>
        </w:rPr>
        <w:t xml:space="preserve">Decisions:</w:t>
      </w:r>
      <w:r>
        <w:t xml:space="preserve"> </w:t>
      </w:r>
      <w:r>
        <w:t xml:space="preserve">execute, return for negotiation, lapse the award on non-acceptance, reallocate to the reserve list.</w:t>
      </w:r>
    </w:p>
    <w:bookmarkEnd w:id="34"/>
    <w:bookmarkStart w:id="35" w:name="disbursement-repeats-per-tranche"/>
    <w:p>
      <w:pPr>
        <w:pStyle w:val="Heading2"/>
      </w:pPr>
      <w:r>
        <w:t xml:space="preserve">5.12 Disbursement (repeats per tranche)</w:t>
      </w:r>
    </w:p>
    <w:p>
      <w:pPr>
        <w:numPr>
          <w:ilvl w:val="0"/>
          <w:numId w:val="1013"/>
        </w:numPr>
        <w:pStyle w:val="Compact"/>
      </w:pPr>
      <w:r>
        <w:rPr>
          <w:bCs/>
          <w:b/>
        </w:rPr>
        <w:t xml:space="preserve">Activities:</w:t>
      </w:r>
      <w:r>
        <w:t xml:space="preserve"> </w:t>
      </w:r>
      <w:r>
        <w:t xml:space="preserve">validate the tranche claim against its milestone, verify supporting evidence, confirm prior reports are acquitted, approve and process payment.</w:t>
      </w:r>
    </w:p>
    <w:p>
      <w:pPr>
        <w:numPr>
          <w:ilvl w:val="0"/>
          <w:numId w:val="1013"/>
        </w:numPr>
        <w:pStyle w:val="Compact"/>
      </w:pPr>
      <w:r>
        <w:rPr>
          <w:bCs/>
          <w:b/>
        </w:rPr>
        <w:t xml:space="preserve">Capture:</w:t>
      </w:r>
      <w:r>
        <w:t xml:space="preserve"> </w:t>
      </w:r>
      <w:r>
        <w:t xml:space="preserve">tranche number, claim amount, milestone reference, expenditure to date, variance, approval chain, payment date and reference.</w:t>
      </w:r>
    </w:p>
    <w:p>
      <w:pPr>
        <w:numPr>
          <w:ilvl w:val="0"/>
          <w:numId w:val="1013"/>
        </w:numPr>
        <w:pStyle w:val="Compact"/>
      </w:pPr>
      <w:r>
        <w:rPr>
          <w:bCs/>
          <w:b/>
        </w:rPr>
        <w:t xml:space="preserve">Documents:</w:t>
      </w:r>
      <w:r>
        <w:t xml:space="preserve"> </w:t>
      </w:r>
      <w:r>
        <w:t xml:space="preserve">claim form or invoice, expenditure report, proof of prior spend, re-verified tax status.</w:t>
      </w:r>
    </w:p>
    <w:p>
      <w:pPr>
        <w:numPr>
          <w:ilvl w:val="0"/>
          <w:numId w:val="1013"/>
        </w:numPr>
        <w:pStyle w:val="Compact"/>
      </w:pPr>
      <w:r>
        <w:rPr>
          <w:bCs/>
          <w:b/>
        </w:rPr>
        <w:t xml:space="preserve">Assessment:</w:t>
      </w:r>
      <w:r>
        <w:t xml:space="preserve"> </w:t>
      </w:r>
      <w:r>
        <w:t xml:space="preserve">financial acquittal and payment-condition compliance.</w:t>
      </w:r>
    </w:p>
    <w:p>
      <w:pPr>
        <w:numPr>
          <w:ilvl w:val="0"/>
          <w:numId w:val="1013"/>
        </w:numPr>
        <w:pStyle w:val="Compact"/>
      </w:pPr>
      <w:r>
        <w:rPr>
          <w:bCs/>
          <w:b/>
        </w:rPr>
        <w:t xml:space="preserve">Decisions:</w:t>
      </w:r>
      <w:r>
        <w:t xml:space="preserve"> </w:t>
      </w:r>
      <w:r>
        <w:t xml:space="preserve">approve, part-pay, withhold pending outstanding reports, recover funds.</w:t>
      </w:r>
    </w:p>
    <w:bookmarkEnd w:id="35"/>
    <w:bookmarkStart w:id="36" w:name="X8f5fdb3a5c1359b1f907163dd5ac359733395ee"/>
    <w:p>
      <w:pPr>
        <w:pStyle w:val="Heading2"/>
      </w:pPr>
      <w:r>
        <w:t xml:space="preserve">5.13 Implementation monitoring (repeats per reporting period)</w:t>
      </w:r>
    </w:p>
    <w:p>
      <w:pPr>
        <w:numPr>
          <w:ilvl w:val="0"/>
          <w:numId w:val="1014"/>
        </w:numPr>
        <w:pStyle w:val="Compact"/>
      </w:pPr>
      <w:r>
        <w:rPr>
          <w:bCs/>
          <w:b/>
        </w:rPr>
        <w:t xml:space="preserve">Activities:</w:t>
      </w:r>
      <w:r>
        <w:t xml:space="preserve"> </w:t>
      </w:r>
      <w:r>
        <w:t xml:space="preserve">periodic narrative and financial reporting, indicator capture against targets, site visits and data verification, risk and issue logging, corrective action, variation requests.</w:t>
      </w:r>
    </w:p>
    <w:p>
      <w:pPr>
        <w:numPr>
          <w:ilvl w:val="0"/>
          <w:numId w:val="1014"/>
        </w:numPr>
        <w:pStyle w:val="Compact"/>
      </w:pPr>
      <w:r>
        <w:rPr>
          <w:bCs/>
          <w:b/>
        </w:rPr>
        <w:t xml:space="preserve">Capture:</w:t>
      </w:r>
      <w:r>
        <w:t xml:space="preserve"> </w:t>
      </w:r>
      <w:r>
        <w:t xml:space="preserve">reporting period, indicator actuals against targets, beneficiary numbers and demographics, expenditure against budget, milestone status, risks and issues, corrective actions, approved variations.</w:t>
      </w:r>
    </w:p>
    <w:p>
      <w:pPr>
        <w:numPr>
          <w:ilvl w:val="0"/>
          <w:numId w:val="1014"/>
        </w:numPr>
        <w:pStyle w:val="Compact"/>
      </w:pPr>
      <w:r>
        <w:rPr>
          <w:bCs/>
          <w:b/>
        </w:rPr>
        <w:t xml:space="preserve">Documents:</w:t>
      </w:r>
      <w:r>
        <w:t xml:space="preserve"> </w:t>
      </w:r>
      <w:r>
        <w:t xml:space="preserve">progress and financial reports, site visit reports, portfolio of evidence (attendance registers, photographs, deliverables), variation request forms.</w:t>
      </w:r>
    </w:p>
    <w:p>
      <w:pPr>
        <w:numPr>
          <w:ilvl w:val="0"/>
          <w:numId w:val="1014"/>
        </w:numPr>
        <w:pStyle w:val="Compact"/>
      </w:pPr>
      <w:r>
        <w:rPr>
          <w:bCs/>
          <w:b/>
        </w:rPr>
        <w:t xml:space="preserve">Assessment:</w:t>
      </w:r>
      <w:r>
        <w:t xml:space="preserve"> </w:t>
      </w:r>
      <w:r>
        <w:t xml:space="preserve">performance rating (on track, at risk, off track), data quality verification, compliance rating.</w:t>
      </w:r>
    </w:p>
    <w:p>
      <w:pPr>
        <w:numPr>
          <w:ilvl w:val="0"/>
          <w:numId w:val="1014"/>
        </w:numPr>
        <w:pStyle w:val="Compact"/>
      </w:pPr>
      <w:r>
        <w:rPr>
          <w:bCs/>
          <w:b/>
        </w:rPr>
        <w:t xml:space="preserve">Decisions:</w:t>
      </w:r>
      <w:r>
        <w:t xml:space="preserve"> </w:t>
      </w:r>
      <w:r>
        <w:t xml:space="preserve">accept the report, return for revision, approve a variation or no-cost extension, escalate to a remedial plan, suspend, terminate and recover.</w:t>
      </w:r>
    </w:p>
    <w:bookmarkEnd w:id="36"/>
    <w:bookmarkStart w:id="37" w:name="evaluation-and-close-out"/>
    <w:p>
      <w:pPr>
        <w:pStyle w:val="Heading2"/>
      </w:pPr>
      <w:r>
        <w:t xml:space="preserve">5.14 Evaluation and close-out</w:t>
      </w:r>
    </w:p>
    <w:p>
      <w:pPr>
        <w:numPr>
          <w:ilvl w:val="0"/>
          <w:numId w:val="1015"/>
        </w:numPr>
        <w:pStyle w:val="Compact"/>
      </w:pPr>
      <w:r>
        <w:rPr>
          <w:bCs/>
          <w:b/>
        </w:rPr>
        <w:t xml:space="preserve">Activities:</w:t>
      </w:r>
      <w:r>
        <w:t xml:space="preserve"> </w:t>
      </w:r>
      <w:r>
        <w:t xml:space="preserve">mid-term or end-term evaluation, final technical and financial reporting, acquittal and audit, asset and IP disposition, recovery of unspent funds, lessons learned, archiving.</w:t>
      </w:r>
    </w:p>
    <w:p>
      <w:pPr>
        <w:numPr>
          <w:ilvl w:val="0"/>
          <w:numId w:val="1015"/>
        </w:numPr>
        <w:pStyle w:val="Compact"/>
      </w:pPr>
      <w:r>
        <w:rPr>
          <w:bCs/>
          <w:b/>
        </w:rPr>
        <w:t xml:space="preserve">Capture:</w:t>
      </w:r>
      <w:r>
        <w:t xml:space="preserve"> </w:t>
      </w:r>
      <w:r>
        <w:t xml:space="preserve">outcome indicator achievement, final expenditure and unspent balance, evaluator findings and management response, asset and IP register, grantee performance rating for future applications.</w:t>
      </w:r>
    </w:p>
    <w:p>
      <w:pPr>
        <w:numPr>
          <w:ilvl w:val="0"/>
          <w:numId w:val="1015"/>
        </w:numPr>
        <w:pStyle w:val="Compact"/>
      </w:pPr>
      <w:r>
        <w:rPr>
          <w:bCs/>
          <w:b/>
        </w:rPr>
        <w:t xml:space="preserve">Documents:</w:t>
      </w:r>
      <w:r>
        <w:t xml:space="preserve"> </w:t>
      </w:r>
      <w:r>
        <w:t xml:space="preserve">evaluation report, final narrative report, audited statement of expenditure, completion certificate, closure memo.</w:t>
      </w:r>
    </w:p>
    <w:p>
      <w:pPr>
        <w:numPr>
          <w:ilvl w:val="0"/>
          <w:numId w:val="1015"/>
        </w:numPr>
        <w:pStyle w:val="Compact"/>
      </w:pPr>
      <w:r>
        <w:rPr>
          <w:bCs/>
          <w:b/>
        </w:rPr>
        <w:t xml:space="preserve">Assessment:</w:t>
      </w:r>
      <w:r>
        <w:t xml:space="preserve"> </w:t>
      </w:r>
      <w:r>
        <w:t xml:space="preserve">results-framework scoring against relevance, effectiveness, efficiency, impact and sustainability; audit sign-off.</w:t>
      </w:r>
    </w:p>
    <w:p>
      <w:pPr>
        <w:numPr>
          <w:ilvl w:val="0"/>
          <w:numId w:val="1015"/>
        </w:numPr>
        <w:pStyle w:val="Compact"/>
      </w:pPr>
      <w:r>
        <w:rPr>
          <w:bCs/>
          <w:b/>
        </w:rPr>
        <w:t xml:space="preserve">Decisions:</w:t>
      </w:r>
      <w:r>
        <w:t xml:space="preserve"> </w:t>
      </w:r>
      <w:r>
        <w:t xml:space="preserve">close, close with qualification, refer for recovery or investigation, restrict future funding.</w:t>
      </w:r>
    </w:p>
    <w:p>
      <w:pPr>
        <w:pStyle w:val="FirstParagraph"/>
      </w:pPr>
      <w:r>
        <w:t xml:space="preserve">The grantee performance rating written at close-out must be readable at stage 4.6 of any later application by the same entity. This is the single most useful M&amp;E feedback loop in the system and is easy to lose if the pre-award and post-award modules are built as separate silos.</w:t>
      </w:r>
    </w:p>
    <w:bookmarkEnd w:id="37"/>
    <w:bookmarkEnd w:id="38"/>
    <w:bookmarkStart w:id="39" w:name="stage-configuration-model"/>
    <w:p>
      <w:pPr>
        <w:pStyle w:val="Heading1"/>
      </w:pPr>
      <w:r>
        <w:t xml:space="preserve">6. Stage configuration model</w:t>
      </w:r>
    </w:p>
    <w:p>
      <w:pPr>
        <w:pStyle w:val="FirstParagraph"/>
      </w:pPr>
      <w:r>
        <w:t xml:space="preserve">An administrator must be able to configure every element below inside any stage, without developer involvement. This answers question 3 of the clarification request.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What the administrator configures</w:t>
            </w:r>
          </w:p>
        </w:tc>
      </w:tr>
      <w:tr>
        <w:tc>
          <w:tcPr/>
          <w:p>
            <w:pPr>
              <w:pStyle w:val="Compact"/>
              <w:jc w:val="left"/>
            </w:pPr>
            <w:r>
              <w:t xml:space="preserve">Form fields</w:t>
            </w:r>
          </w:p>
        </w:tc>
        <w:tc>
          <w:tcPr/>
          <w:p>
            <w:pPr>
              <w:pStyle w:val="Compact"/>
              <w:jc w:val="left"/>
            </w:pPr>
            <w:r>
              <w:t xml:space="preserve">Field label, key, data type, mandatory flag, default, help text, validation rule, visibility condition, order, section grouping</w:t>
            </w:r>
          </w:p>
        </w:tc>
      </w:tr>
      <w:tr>
        <w:tc>
          <w:tcPr/>
          <w:p>
            <w:pPr>
              <w:pStyle w:val="Compact"/>
              <w:jc w:val="left"/>
            </w:pPr>
            <w:r>
              <w:t xml:space="preserve">Checklists</w:t>
            </w:r>
          </w:p>
        </w:tc>
        <w:tc>
          <w:tcPr/>
          <w:p>
            <w:pPr>
              <w:pStyle w:val="Compact"/>
              <w:jc w:val="left"/>
            </w:pPr>
            <w:r>
              <w:t xml:space="preserve">Item text, mandatory flag, response type (tick, yes/no/NA), evidence required, note field</w:t>
            </w:r>
          </w:p>
        </w:tc>
      </w:tr>
      <w:tr>
        <w:tc>
          <w:tcPr/>
          <w:p>
            <w:pPr>
              <w:pStyle w:val="Compact"/>
              <w:jc w:val="left"/>
            </w:pPr>
            <w:r>
              <w:t xml:space="preserve">Documents</w:t>
            </w:r>
          </w:p>
        </w:tc>
        <w:tc>
          <w:tcPr/>
          <w:p>
            <w:pPr>
              <w:pStyle w:val="Compact"/>
              <w:jc w:val="left"/>
            </w:pPr>
            <w:r>
              <w:t xml:space="preserve">Document name, mandatory flag, accepted file types, maximum size, expiry rule, template to download, who may upload, who may verify</w:t>
            </w:r>
          </w:p>
        </w:tc>
      </w:tr>
      <w:tr>
        <w:tc>
          <w:tcPr/>
          <w:p>
            <w:pPr>
              <w:pStyle w:val="Compact"/>
              <w:jc w:val="left"/>
            </w:pPr>
            <w:r>
              <w:t xml:space="preserve">Scoring criteria</w:t>
            </w:r>
          </w:p>
        </w:tc>
        <w:tc>
          <w:tcPr/>
          <w:p>
            <w:pPr>
              <w:pStyle w:val="Compact"/>
              <w:jc w:val="left"/>
            </w:pPr>
            <w:r>
              <w:t xml:space="preserve">Criterion, description, weight, scale (numeric range or rating band), minimum threshold, whether comment is mandatory, aggregation method</w:t>
            </w:r>
          </w:p>
        </w:tc>
      </w:tr>
      <w:tr>
        <w:tc>
          <w:tcPr/>
          <w:p>
            <w:pPr>
              <w:pStyle w:val="Compact"/>
              <w:jc w:val="left"/>
            </w:pPr>
            <w:r>
              <w:t xml:space="preserve">Comments and recommendations</w:t>
            </w:r>
          </w:p>
        </w:tc>
        <w:tc>
          <w:tcPr/>
          <w:p>
            <w:pPr>
              <w:pStyle w:val="Compact"/>
              <w:jc w:val="left"/>
            </w:pPr>
            <w:r>
              <w:t xml:space="preserve">Free-text blocks with labels, mandatory flag, internal-only or applicant-visible</w:t>
            </w:r>
          </w:p>
        </w:tc>
      </w:tr>
      <w:tr>
        <w:tc>
          <w:tcPr/>
          <w:p>
            <w:pPr>
              <w:pStyle w:val="Compact"/>
              <w:jc w:val="left"/>
            </w:pPr>
            <w:r>
              <w:t xml:space="preserve">Decisions</w:t>
            </w:r>
          </w:p>
        </w:tc>
        <w:tc>
          <w:tcPr/>
          <w:p>
            <w:pPr>
              <w:pStyle w:val="Compact"/>
              <w:jc w:val="left"/>
            </w:pPr>
            <w:r>
              <w:t xml:space="preserve">The action set available at this stage, with the reason-code list per action</w:t>
            </w:r>
          </w:p>
        </w:tc>
      </w:tr>
      <w:tr>
        <w:tc>
          <w:tcPr/>
          <w:p>
            <w:pPr>
              <w:pStyle w:val="Compact"/>
              <w:jc w:val="left"/>
            </w:pPr>
            <w:r>
              <w:t xml:space="preserve">Assignment</w:t>
            </w:r>
          </w:p>
        </w:tc>
        <w:tc>
          <w:tcPr/>
          <w:p>
            <w:pPr>
              <w:pStyle w:val="Compact"/>
              <w:jc w:val="left"/>
            </w:pPr>
            <w:r>
              <w:t xml:space="preserve">Role, named users, allocation rule, number of reviewers required, quorum</w:t>
            </w:r>
          </w:p>
        </w:tc>
      </w:tr>
      <w:tr>
        <w:tc>
          <w:tcPr/>
          <w:p>
            <w:pPr>
              <w:pStyle w:val="Compact"/>
              <w:jc w:val="left"/>
            </w:pPr>
            <w:r>
              <w:t xml:space="preserve">SLA</w:t>
            </w:r>
          </w:p>
        </w:tc>
        <w:tc>
          <w:tcPr/>
          <w:p>
            <w:pPr>
              <w:pStyle w:val="Compact"/>
              <w:jc w:val="left"/>
            </w:pPr>
            <w:r>
              <w:t xml:space="preserve">Turnaround days, reminder schedule, escalation target</w:t>
            </w:r>
          </w:p>
        </w:tc>
      </w:tr>
      <w:tr>
        <w:tc>
          <w:tcPr/>
          <w:p>
            <w:pPr>
              <w:pStyle w:val="Compact"/>
              <w:jc w:val="left"/>
            </w:pPr>
            <w:r>
              <w:t xml:space="preserve">Notifications</w:t>
            </w:r>
          </w:p>
        </w:tc>
        <w:tc>
          <w:tcPr/>
          <w:p>
            <w:pPr>
              <w:pStyle w:val="Compact"/>
              <w:jc w:val="left"/>
            </w:pPr>
            <w:r>
              <w:t xml:space="preserve">Trigger event, recipient, template, channel</w:t>
            </w:r>
          </w:p>
        </w:tc>
      </w:tr>
      <w:tr>
        <w:tc>
          <w:tcPr/>
          <w:p>
            <w:pPr>
              <w:pStyle w:val="Compact"/>
              <w:jc w:val="left"/>
            </w:pPr>
            <w:r>
              <w:t xml:space="preserve">Entry and exit conditions</w:t>
            </w:r>
          </w:p>
        </w:tc>
        <w:tc>
          <w:tcPr/>
          <w:p>
            <w:pPr>
              <w:pStyle w:val="Compact"/>
              <w:jc w:val="left"/>
            </w:pPr>
            <w:r>
              <w:t xml:space="preserve">Rules that must hold before the stage opens and before it may close</w:t>
            </w:r>
          </w:p>
        </w:tc>
      </w:tr>
    </w:tbl>
    <w:p>
      <w:pPr>
        <w:pStyle w:val="BodyText"/>
      </w:pPr>
      <w:r>
        <w:t xml:space="preserve">Three constraints matter for build:</w:t>
      </w:r>
    </w:p>
    <w:p>
      <w:pPr>
        <w:numPr>
          <w:ilvl w:val="0"/>
          <w:numId w:val="1016"/>
        </w:numPr>
        <w:pStyle w:val="Compact"/>
      </w:pPr>
      <w:r>
        <w:rPr>
          <w:bCs/>
          <w:b/>
        </w:rPr>
        <w:t xml:space="preserve">Field visibility is conditional.</w:t>
      </w:r>
      <w:r>
        <w:t xml:space="preserve"> </w:t>
      </w:r>
      <w:r>
        <w:t xml:space="preserve">“</w:t>
      </w:r>
      <w:r>
        <w:t xml:space="preserve">Show the equipment justification fields only where the budget includes capital items</w:t>
      </w:r>
      <w:r>
        <w:t xml:space="preserve">”</w:t>
      </w:r>
      <w:r>
        <w:t xml:space="preserve"> </w:t>
      </w:r>
      <w:r>
        <w:t xml:space="preserve">must be configurable, not coded.</w:t>
      </w:r>
    </w:p>
    <w:p>
      <w:pPr>
        <w:numPr>
          <w:ilvl w:val="0"/>
          <w:numId w:val="1016"/>
        </w:numPr>
        <w:pStyle w:val="Compact"/>
      </w:pPr>
      <w:r>
        <w:rPr>
          <w:bCs/>
          <w:b/>
        </w:rPr>
        <w:t xml:space="preserve">Applicant-visible versus internal-only is a property of every element</w:t>
      </w:r>
      <w:r>
        <w:t xml:space="preserve">, not a stage-level switch. Reviewer scores are internal; the consolidated feedback narrative is released at stage 4.10.</w:t>
      </w:r>
    </w:p>
    <w:p>
      <w:pPr>
        <w:numPr>
          <w:ilvl w:val="0"/>
          <w:numId w:val="1016"/>
        </w:numPr>
        <w:pStyle w:val="Compact"/>
      </w:pPr>
      <w:r>
        <w:rPr>
          <w:bCs/>
          <w:b/>
        </w:rPr>
        <w:t xml:space="preserve">Every field needs a stable key</w:t>
      </w:r>
      <w:r>
        <w:t xml:space="preserve">, because M&amp;E reporting and the results framework read across calls. If each call invents its own field identifiers, cross-call reporting becomes impossible.</w:t>
      </w:r>
    </w:p>
    <w:bookmarkEnd w:id="39"/>
    <w:bookmarkStart w:id="40" w:name="eligibility-rules-engine"/>
    <w:p>
      <w:pPr>
        <w:pStyle w:val="Heading1"/>
      </w:pPr>
      <w:r>
        <w:t xml:space="preserve">7. Eligibility rules engine</w:t>
      </w:r>
    </w:p>
    <w:p>
      <w:pPr>
        <w:pStyle w:val="FirstParagraph"/>
      </w:pPr>
      <w:r>
        <w:t xml:space="preserve">Each funding call has its own eligibility ruleset, and Yes/No responses alone are not sufficient. A Yes/No-only engine cannot express</w:t>
      </w:r>
      <w:r>
        <w:t xml:space="preserve"> </w:t>
      </w:r>
      <w:r>
        <w:t xml:space="preserve">“</w:t>
      </w:r>
      <w:r>
        <w:t xml:space="preserve">requested amount must not exceed R2 000 000</w:t>
      </w:r>
      <w:r>
        <w:t xml:space="preserve">”</w:t>
      </w:r>
      <w:r>
        <w:t xml:space="preserve"> </w:t>
      </w:r>
      <w:r>
        <w:t xml:space="preserve">or</w:t>
      </w:r>
      <w:r>
        <w:t xml:space="preserve"> </w:t>
      </w:r>
      <w:r>
        <w:t xml:space="preserve">“</w:t>
      </w:r>
      <w:r>
        <w:t xml:space="preserve">the entity must have been registered before 1 January 2024</w:t>
      </w:r>
      <w:r>
        <w:t xml:space="preserve">”</w:t>
      </w:r>
      <w:r>
        <w:t xml:space="preserve"> </w:t>
      </w:r>
      <w:r>
        <w:t xml:space="preserve">without asking the applicant to self-assess, which is unverifiable.</w:t>
      </w:r>
    </w:p>
    <w:p>
      <w:pPr>
        <w:pStyle w:val="BodyText"/>
      </w:pPr>
      <w:r>
        <w:t xml:space="preserve">Required response types: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Example criterion</w:t>
            </w:r>
          </w:p>
        </w:tc>
      </w:tr>
      <w:tr>
        <w:tc>
          <w:tcPr/>
          <w:p>
            <w:pPr>
              <w:pStyle w:val="Compact"/>
              <w:jc w:val="left"/>
            </w:pPr>
            <w:r>
              <w:t xml:space="preserve">Yes/No</w:t>
            </w:r>
          </w:p>
        </w:tc>
        <w:tc>
          <w:tcPr/>
          <w:p>
            <w:pPr>
              <w:pStyle w:val="Compact"/>
              <w:jc w:val="left"/>
            </w:pPr>
            <w:r>
              <w:t xml:space="preserve">Is the entity registered in South Africa?</w:t>
            </w:r>
          </w:p>
        </w:tc>
      </w:tr>
      <w:tr>
        <w:tc>
          <w:tcPr/>
          <w:p>
            <w:pPr>
              <w:pStyle w:val="Compact"/>
              <w:jc w:val="left"/>
            </w:pPr>
            <w:r>
              <w:t xml:space="preserve">Yes/No/Not applicable</w:t>
            </w:r>
          </w:p>
        </w:tc>
        <w:tc>
          <w:tcPr/>
          <w:p>
            <w:pPr>
              <w:pStyle w:val="Compact"/>
              <w:jc w:val="left"/>
            </w:pPr>
            <w:r>
              <w:t xml:space="preserve">Does the project require ethics clearance?</w:t>
            </w:r>
          </w:p>
        </w:tc>
      </w:tr>
      <w:tr>
        <w:tc>
          <w:tcPr/>
          <w:p>
            <w:pPr>
              <w:pStyle w:val="Compact"/>
              <w:jc w:val="left"/>
            </w:pPr>
            <w:r>
              <w:t xml:space="preserve">Single select</w:t>
            </w:r>
          </w:p>
        </w:tc>
        <w:tc>
          <w:tcPr/>
          <w:p>
            <w:pPr>
              <w:pStyle w:val="Compact"/>
              <w:jc w:val="left"/>
            </w:pPr>
            <w:r>
              <w:t xml:space="preserve">Entity type: NPO, private company, higher education institution, public entity</w:t>
            </w:r>
          </w:p>
        </w:tc>
      </w:tr>
      <w:tr>
        <w:tc>
          <w:tcPr/>
          <w:p>
            <w:pPr>
              <w:pStyle w:val="Compact"/>
              <w:jc w:val="left"/>
            </w:pPr>
            <w:r>
              <w:t xml:space="preserve">Multi-select</w:t>
            </w:r>
          </w:p>
        </w:tc>
        <w:tc>
          <w:tcPr/>
          <w:p>
            <w:pPr>
              <w:pStyle w:val="Compact"/>
              <w:jc w:val="left"/>
            </w:pPr>
            <w:r>
              <w:t xml:space="preserve">Which thematic areas does the project address?</w:t>
            </w:r>
          </w:p>
        </w:tc>
      </w:tr>
      <w:tr>
        <w:tc>
          <w:tcPr/>
          <w:p>
            <w:pPr>
              <w:pStyle w:val="Compact"/>
              <w:jc w:val="left"/>
            </w:pPr>
            <w:r>
              <w:t xml:space="preserve">Numeric</w:t>
            </w:r>
          </w:p>
        </w:tc>
        <w:tc>
          <w:tcPr/>
          <w:p>
            <w:pPr>
              <w:pStyle w:val="Compact"/>
              <w:jc w:val="left"/>
            </w:pPr>
            <w:r>
              <w:t xml:space="preserve">Amount requested; number of beneficiaries; annual turnover</w:t>
            </w:r>
          </w:p>
        </w:tc>
      </w:tr>
      <w:tr>
        <w:tc>
          <w:tcPr/>
          <w:p>
            <w:pPr>
              <w:pStyle w:val="Compact"/>
              <w:jc w:val="left"/>
            </w:pPr>
            <w:r>
              <w:t xml:space="preserve">Date</w:t>
            </w:r>
          </w:p>
        </w:tc>
        <w:tc>
          <w:tcPr/>
          <w:p>
            <w:pPr>
              <w:pStyle w:val="Compact"/>
              <w:jc w:val="left"/>
            </w:pPr>
            <w:r>
              <w:t xml:space="preserve">Date of registration; project start date</w:t>
            </w:r>
          </w:p>
        </w:tc>
      </w:tr>
      <w:tr>
        <w:tc>
          <w:tcPr/>
          <w:p>
            <w:pPr>
              <w:pStyle w:val="Compact"/>
              <w:jc w:val="left"/>
            </w:pPr>
            <w:r>
              <w:t xml:space="preserve">Percentage</w:t>
            </w:r>
          </w:p>
        </w:tc>
        <w:tc>
          <w:tcPr/>
          <w:p>
            <w:pPr>
              <w:pStyle w:val="Compact"/>
              <w:jc w:val="left"/>
            </w:pPr>
            <w:r>
              <w:t xml:space="preserve">Co-funding as a share of total project cost</w:t>
            </w:r>
          </w:p>
        </w:tc>
      </w:tr>
      <w:tr>
        <w:tc>
          <w:tcPr/>
          <w:p>
            <w:pPr>
              <w:pStyle w:val="Compact"/>
              <w:jc w:val="left"/>
            </w:pPr>
            <w:r>
              <w:t xml:space="preserve">Document present and valid</w:t>
            </w:r>
          </w:p>
        </w:tc>
        <w:tc>
          <w:tcPr/>
          <w:p>
            <w:pPr>
              <w:pStyle w:val="Compact"/>
              <w:jc w:val="left"/>
            </w:pPr>
            <w:r>
              <w:t xml:space="preserve">Tax clearance uploaded and not expired</w:t>
            </w:r>
          </w:p>
        </w:tc>
      </w:tr>
      <w:tr>
        <w:tc>
          <w:tcPr/>
          <w:p>
            <w:pPr>
              <w:pStyle w:val="Compact"/>
              <w:jc w:val="left"/>
            </w:pPr>
            <w:r>
              <w:t xml:space="preserve">Lookup</w:t>
            </w:r>
          </w:p>
        </w:tc>
        <w:tc>
          <w:tcPr/>
          <w:p>
            <w:pPr>
              <w:pStyle w:val="Compact"/>
              <w:jc w:val="left"/>
            </w:pPr>
            <w:r>
              <w:t xml:space="preserve">Entity status verified against an external register</w:t>
            </w:r>
          </w:p>
        </w:tc>
      </w:tr>
      <w:tr>
        <w:tc>
          <w:tcPr/>
          <w:p>
            <w:pPr>
              <w:pStyle w:val="Compact"/>
              <w:jc w:val="left"/>
            </w:pPr>
            <w:r>
              <w:t xml:space="preserve">Computed</w:t>
            </w:r>
          </w:p>
        </w:tc>
        <w:tc>
          <w:tcPr/>
          <w:p>
            <w:pPr>
              <w:pStyle w:val="Compact"/>
              <w:jc w:val="left"/>
            </w:pPr>
            <w:r>
              <w:t xml:space="preserve">Amount requested as a percentage of the applicant’s annual turnover</w:t>
            </w:r>
          </w:p>
        </w:tc>
      </w:tr>
    </w:tbl>
    <w:p>
      <w:pPr>
        <w:pStyle w:val="BodyText"/>
      </w:pPr>
      <w:r>
        <w:t xml:space="preserve">Operators the rule builder must support: equals, not equals, in list, not in list, greater than, less than, between, before, after, within the last N months, is empty, is not empty.</w:t>
      </w:r>
    </w:p>
    <w:p>
      <w:pPr>
        <w:pStyle w:val="BodyText"/>
      </w:pPr>
      <w:r>
        <w:t xml:space="preserve">Rules combine with AND, OR and grouping. Each rule carries:</w:t>
      </w:r>
    </w:p>
    <w:p>
      <w:pPr>
        <w:numPr>
          <w:ilvl w:val="0"/>
          <w:numId w:val="1017"/>
        </w:numPr>
        <w:pStyle w:val="Compact"/>
      </w:pPr>
      <w:r>
        <w:t xml:space="preserve">An outcome on failure:</w:t>
      </w:r>
      <w:r>
        <w:t xml:space="preserve"> </w:t>
      </w:r>
      <w:r>
        <w:rPr>
          <w:bCs/>
          <w:b/>
        </w:rPr>
        <w:t xml:space="preserve">hard fail</w:t>
      </w:r>
      <w:r>
        <w:t xml:space="preserve"> </w:t>
      </w:r>
      <w:r>
        <w:t xml:space="preserve">(auto-reject),</w:t>
      </w:r>
      <w:r>
        <w:t xml:space="preserve"> </w:t>
      </w:r>
      <w:r>
        <w:rPr>
          <w:bCs/>
          <w:b/>
        </w:rPr>
        <w:t xml:space="preserve">soft fail</w:t>
      </w:r>
      <w:r>
        <w:t xml:space="preserve"> </w:t>
      </w:r>
      <w:r>
        <w:t xml:space="preserve">(flag for manual screener decision) or</w:t>
      </w:r>
      <w:r>
        <w:t xml:space="preserve"> </w:t>
      </w:r>
      <w:r>
        <w:rPr>
          <w:bCs/>
          <w:b/>
        </w:rPr>
        <w:t xml:space="preserve">warning</w:t>
      </w:r>
      <w:r>
        <w:t xml:space="preserve"> </w:t>
      </w:r>
      <w:r>
        <w:t xml:space="preserve">(record and proceed).</w:t>
      </w:r>
    </w:p>
    <w:p>
      <w:pPr>
        <w:numPr>
          <w:ilvl w:val="0"/>
          <w:numId w:val="1017"/>
        </w:numPr>
        <w:pStyle w:val="Compact"/>
      </w:pPr>
      <w:r>
        <w:t xml:space="preserve">A reason code and applicant-facing message.</w:t>
      </w:r>
    </w:p>
    <w:p>
      <w:pPr>
        <w:numPr>
          <w:ilvl w:val="0"/>
          <w:numId w:val="1017"/>
        </w:numPr>
        <w:pStyle w:val="Compact"/>
      </w:pPr>
      <w:r>
        <w:t xml:space="preserve">A flag for whether it runs at submission as a self-check, at screening, or both.</w:t>
      </w:r>
    </w:p>
    <w:p>
      <w:pPr>
        <w:pStyle w:val="FirstParagraph"/>
      </w:pPr>
      <w:r>
        <w:t xml:space="preserve">Run eligibility twice. A pre-submission self-check reduces ineligible submissions and administrative load; the authoritative run happens at stage 4.3 against verified evidence. The two must share one ruleset so they cannot drift apart.</w:t>
      </w:r>
    </w:p>
    <w:bookmarkEnd w:id="40"/>
    <w:bookmarkStart w:id="41" w:name="roles-assignment-and-permissions"/>
    <w:p>
      <w:pPr>
        <w:pStyle w:val="Heading1"/>
      </w:pPr>
      <w:r>
        <w:t xml:space="preserve">8. Roles, assignment and permissions</w:t>
      </w:r>
    </w:p>
    <w:p>
      <w:pPr>
        <w:pStyle w:val="FirstParagraph"/>
      </w:pPr>
      <w:r>
        <w:t xml:space="preserve">Responsibility per stage is configurable. Stages bind to roles rather than named individuals, with named assignment as an override, so that staff changes do not require every template to be rebuilt.</w:t>
      </w:r>
    </w:p>
    <w:p>
      <w:pPr>
        <w:pStyle w:val="BodyText"/>
      </w:pPr>
      <w:r>
        <w:t xml:space="preserve">Standard roles to seed: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Typical stages</w:t>
            </w:r>
          </w:p>
        </w:tc>
      </w:tr>
      <w:tr>
        <w:tc>
          <w:tcPr/>
          <w:p>
            <w:pPr>
              <w:pStyle w:val="Compact"/>
              <w:jc w:val="left"/>
            </w:pPr>
            <w:r>
              <w:t xml:space="preserve">Applicant</w:t>
            </w:r>
          </w:p>
        </w:tc>
        <w:tc>
          <w:tcPr/>
          <w:p>
            <w:pPr>
              <w:pStyle w:val="Compact"/>
              <w:jc w:val="left"/>
            </w:pPr>
            <w:r>
              <w:t xml:space="preserve">4.2, and RFI responses throughout</w:t>
            </w:r>
          </w:p>
        </w:tc>
      </w:tr>
      <w:tr>
        <w:tc>
          <w:tcPr/>
          <w:p>
            <w:pPr>
              <w:pStyle w:val="Compact"/>
              <w:jc w:val="left"/>
            </w:pPr>
            <w:r>
              <w:t xml:space="preserve">Programme administrator</w:t>
            </w:r>
          </w:p>
        </w:tc>
        <w:tc>
          <w:tcPr/>
          <w:p>
            <w:pPr>
              <w:pStyle w:val="Compact"/>
              <w:jc w:val="left"/>
            </w:pPr>
            <w:r>
              <w:t xml:space="preserve">4.1, 4.3, 4.10</w:t>
            </w:r>
          </w:p>
        </w:tc>
      </w:tr>
      <w:tr>
        <w:tc>
          <w:tcPr/>
          <w:p>
            <w:pPr>
              <w:pStyle w:val="Compact"/>
              <w:jc w:val="left"/>
            </w:pPr>
            <w:r>
              <w:t xml:space="preserve">Technical reviewer (internal or external)</w:t>
            </w:r>
          </w:p>
        </w:tc>
        <w:tc>
          <w:tcPr/>
          <w:p>
            <w:pPr>
              <w:pStyle w:val="Compact"/>
              <w:jc w:val="left"/>
            </w:pPr>
            <w:r>
              <w:t xml:space="preserve">4.4</w:t>
            </w:r>
          </w:p>
        </w:tc>
      </w:tr>
      <w:tr>
        <w:tc>
          <w:tcPr/>
          <w:p>
            <w:pPr>
              <w:pStyle w:val="Compact"/>
              <w:jc w:val="left"/>
            </w:pPr>
            <w:r>
              <w:t xml:space="preserve">Financial reviewer</w:t>
            </w:r>
          </w:p>
        </w:tc>
        <w:tc>
          <w:tcPr/>
          <w:p>
            <w:pPr>
              <w:pStyle w:val="Compact"/>
              <w:jc w:val="left"/>
            </w:pPr>
            <w:r>
              <w:t xml:space="preserve">4.5, 5.12</w:t>
            </w:r>
          </w:p>
        </w:tc>
      </w:tr>
      <w:tr>
        <w:tc>
          <w:tcPr/>
          <w:p>
            <w:pPr>
              <w:pStyle w:val="Compact"/>
              <w:jc w:val="left"/>
            </w:pPr>
            <w:r>
              <w:t xml:space="preserve">Due diligence officer</w:t>
            </w:r>
          </w:p>
        </w:tc>
        <w:tc>
          <w:tcPr/>
          <w:p>
            <w:pPr>
              <w:pStyle w:val="Compact"/>
              <w:jc w:val="left"/>
            </w:pPr>
            <w:r>
              <w:t xml:space="preserve">4.6</w:t>
            </w:r>
          </w:p>
        </w:tc>
      </w:tr>
      <w:tr>
        <w:tc>
          <w:tcPr/>
          <w:p>
            <w:pPr>
              <w:pStyle w:val="Compact"/>
              <w:jc w:val="left"/>
            </w:pPr>
            <w:r>
              <w:t xml:space="preserve">Panel chair / moderator</w:t>
            </w:r>
          </w:p>
        </w:tc>
        <w:tc>
          <w:tcPr/>
          <w:p>
            <w:pPr>
              <w:pStyle w:val="Compact"/>
              <w:jc w:val="left"/>
            </w:pPr>
            <w:r>
              <w:t xml:space="preserve">4.7</w:t>
            </w:r>
          </w:p>
        </w:tc>
      </w:tr>
      <w:tr>
        <w:tc>
          <w:tcPr/>
          <w:p>
            <w:pPr>
              <w:pStyle w:val="Compact"/>
              <w:jc w:val="left"/>
            </w:pPr>
            <w:r>
              <w:t xml:space="preserve">Committee member and secretariat</w:t>
            </w:r>
          </w:p>
        </w:tc>
        <w:tc>
          <w:tcPr/>
          <w:p>
            <w:pPr>
              <w:pStyle w:val="Compact"/>
              <w:jc w:val="left"/>
            </w:pPr>
            <w:r>
              <w:t xml:space="preserve">4.8</w:t>
            </w:r>
          </w:p>
        </w:tc>
      </w:tr>
      <w:tr>
        <w:tc>
          <w:tcPr/>
          <w:p>
            <w:pPr>
              <w:pStyle w:val="Compact"/>
              <w:jc w:val="left"/>
            </w:pPr>
            <w:r>
              <w:t xml:space="preserve">Delegated approver (by value band)</w:t>
            </w:r>
          </w:p>
        </w:tc>
        <w:tc>
          <w:tcPr/>
          <w:p>
            <w:pPr>
              <w:pStyle w:val="Compact"/>
              <w:jc w:val="left"/>
            </w:pPr>
            <w:r>
              <w:t xml:space="preserve">4.9</w:t>
            </w:r>
          </w:p>
        </w:tc>
      </w:tr>
      <w:tr>
        <w:tc>
          <w:tcPr/>
          <w:p>
            <w:pPr>
              <w:pStyle w:val="Compact"/>
              <w:jc w:val="left"/>
            </w:pPr>
            <w:r>
              <w:t xml:space="preserve">Contracts officer</w:t>
            </w:r>
          </w:p>
        </w:tc>
        <w:tc>
          <w:tcPr/>
          <w:p>
            <w:pPr>
              <w:pStyle w:val="Compact"/>
              <w:jc w:val="left"/>
            </w:pPr>
            <w:r>
              <w:t xml:space="preserve">5.11</w:t>
            </w:r>
          </w:p>
        </w:tc>
      </w:tr>
      <w:tr>
        <w:tc>
          <w:tcPr/>
          <w:p>
            <w:pPr>
              <w:pStyle w:val="Compact"/>
              <w:jc w:val="left"/>
            </w:pPr>
            <w:r>
              <w:t xml:space="preserve">Grant or M&amp;E officer</w:t>
            </w:r>
          </w:p>
        </w:tc>
        <w:tc>
          <w:tcPr/>
          <w:p>
            <w:pPr>
              <w:pStyle w:val="Compact"/>
              <w:jc w:val="left"/>
            </w:pPr>
            <w:r>
              <w:t xml:space="preserve">5.13, 5.14</w:t>
            </w:r>
          </w:p>
        </w:tc>
      </w:tr>
      <w:tr>
        <w:tc>
          <w:tcPr/>
          <w:p>
            <w:pPr>
              <w:pStyle w:val="Compact"/>
              <w:jc w:val="left"/>
            </w:pPr>
            <w:r>
              <w:t xml:space="preserve">System administrator</w:t>
            </w:r>
          </w:p>
        </w:tc>
        <w:tc>
          <w:tcPr/>
          <w:p>
            <w:pPr>
              <w:pStyle w:val="Compact"/>
              <w:jc w:val="left"/>
            </w:pPr>
            <w:r>
              <w:t xml:space="preserve">Template and ruleset configuration</w:t>
            </w:r>
          </w:p>
        </w:tc>
      </w:tr>
    </w:tbl>
    <w:p>
      <w:pPr>
        <w:pStyle w:val="BodyText"/>
      </w:pPr>
      <w:r>
        <w:t xml:space="preserve">Permissions must be set per element, not per stage: who may view, who may edit, who may decide. A committee secretariat may view scores but not change them; a reviewer may see their own scores but not those of other reviewers until moderation opens.</w:t>
      </w:r>
    </w:p>
    <w:p>
      <w:pPr>
        <w:pStyle w:val="BodyText"/>
      </w:pPr>
      <w:r>
        <w:t xml:space="preserve">Assignment rules to support: manual allocation, round-robin, allocation by expertise tag, allocation by workload, and self-assignment from a pool. Delegation and reassignment must be possible at any point, with the reason recorded.</w:t>
      </w:r>
    </w:p>
    <w:p>
      <w:pPr>
        <w:pStyle w:val="BodyText"/>
      </w:pPr>
      <w:r>
        <w:t xml:space="preserve">Conflict of interest is a gate, not a form. Where a stage is configured as COI-gated, the application’s contents stay hidden until the reviewer has declared, and a declared conflict removes the allocation and triggers reallocation.</w:t>
      </w:r>
    </w:p>
    <w:bookmarkEnd w:id="41"/>
    <w:bookmarkStart w:id="42" w:name="actions-and-transitions"/>
    <w:p>
      <w:pPr>
        <w:pStyle w:val="Heading1"/>
      </w:pPr>
      <w:r>
        <w:t xml:space="preserve">9. Actions and transitions</w:t>
      </w:r>
    </w:p>
    <w:p>
      <w:pPr>
        <w:pStyle w:val="FirstParagraph"/>
      </w:pPr>
      <w:r>
        <w:t xml:space="preserve">Actions and their transitions are configurable per stage. The action set below ships as standard; an administrator enables, renames and re-targets each 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Effect</w:t>
            </w:r>
          </w:p>
        </w:tc>
        <w:tc>
          <w:tcPr/>
          <w:p>
            <w:pPr>
              <w:pStyle w:val="Compact"/>
              <w:jc w:val="left"/>
            </w:pPr>
            <w:r>
              <w:t xml:space="preserve">Configuration</w:t>
            </w:r>
          </w:p>
        </w:tc>
      </w:tr>
      <w:tr>
        <w:tc>
          <w:tcPr/>
          <w:p>
            <w:pPr>
              <w:pStyle w:val="Compact"/>
              <w:jc w:val="left"/>
            </w:pPr>
            <w:r>
              <w:t xml:space="preserve">Approve and advance</w:t>
            </w:r>
          </w:p>
        </w:tc>
        <w:tc>
          <w:tcPr/>
          <w:p>
            <w:pPr>
              <w:pStyle w:val="Compact"/>
              <w:jc w:val="left"/>
            </w:pPr>
            <w:r>
              <w:t xml:space="preserve">Moves to the next stage</w:t>
            </w:r>
          </w:p>
        </w:tc>
        <w:tc>
          <w:tcPr/>
          <w:p>
            <w:pPr>
              <w:pStyle w:val="Compact"/>
              <w:jc w:val="left"/>
            </w:pPr>
            <w:r>
              <w:t xml:space="preserve">Target stage, conditions that must be met first</w:t>
            </w:r>
          </w:p>
        </w:tc>
      </w:tr>
      <w:tr>
        <w:tc>
          <w:tcPr/>
          <w:p>
            <w:pPr>
              <w:pStyle w:val="Compact"/>
              <w:jc w:val="left"/>
            </w:pPr>
            <w:r>
              <w:t xml:space="preserve">Reject</w:t>
            </w:r>
          </w:p>
        </w:tc>
        <w:tc>
          <w:tcPr/>
          <w:p>
            <w:pPr>
              <w:pStyle w:val="Compact"/>
              <w:jc w:val="left"/>
            </w:pPr>
            <w:r>
              <w:t xml:space="preserve">Terminates the application</w:t>
            </w:r>
          </w:p>
        </w:tc>
        <w:tc>
          <w:tcPr/>
          <w:p>
            <w:pPr>
              <w:pStyle w:val="Compact"/>
              <w:jc w:val="left"/>
            </w:pPr>
            <w:r>
              <w:t xml:space="preserve">Reason-code list, whether a notification is sent</w:t>
            </w:r>
          </w:p>
        </w:tc>
      </w:tr>
      <w:tr>
        <w:tc>
          <w:tcPr/>
          <w:p>
            <w:pPr>
              <w:pStyle w:val="Compact"/>
              <w:jc w:val="left"/>
            </w:pPr>
            <w:r>
              <w:t xml:space="preserve">Request information</w:t>
            </w:r>
          </w:p>
        </w:tc>
        <w:tc>
          <w:tcPr/>
          <w:p>
            <w:pPr>
              <w:pStyle w:val="Compact"/>
              <w:jc w:val="left"/>
            </w:pPr>
            <w:r>
              <w:t xml:space="preserve">Returns to the applicant, pauses the SLA clock</w:t>
            </w:r>
          </w:p>
        </w:tc>
        <w:tc>
          <w:tcPr/>
          <w:p>
            <w:pPr>
              <w:pStyle w:val="Compact"/>
              <w:jc w:val="left"/>
            </w:pPr>
            <w:r>
              <w:t xml:space="preserve">Response deadline, fields unlocked for editing, reminder schedule</w:t>
            </w:r>
          </w:p>
        </w:tc>
      </w:tr>
      <w:tr>
        <w:tc>
          <w:tcPr/>
          <w:p>
            <w:pPr>
              <w:pStyle w:val="Compact"/>
              <w:jc w:val="left"/>
            </w:pPr>
            <w:r>
              <w:t xml:space="preserve">Return to previous stage</w:t>
            </w:r>
          </w:p>
        </w:tc>
        <w:tc>
          <w:tcPr/>
          <w:p>
            <w:pPr>
              <w:pStyle w:val="Compact"/>
              <w:jc w:val="left"/>
            </w:pPr>
            <w:r>
              <w:t xml:space="preserve">Sends back for rework</w:t>
            </w:r>
          </w:p>
        </w:tc>
        <w:tc>
          <w:tcPr/>
          <w:p>
            <w:pPr>
              <w:pStyle w:val="Compact"/>
              <w:jc w:val="left"/>
            </w:pPr>
            <w:r>
              <w:t xml:space="preserve">Target stage, whether captured data is retained or cleared, mandatory reason</w:t>
            </w:r>
          </w:p>
        </w:tc>
      </w:tr>
      <w:tr>
        <w:tc>
          <w:tcPr/>
          <w:p>
            <w:pPr>
              <w:pStyle w:val="Compact"/>
              <w:jc w:val="left"/>
            </w:pPr>
            <w:r>
              <w:t xml:space="preserve">Refer</w:t>
            </w:r>
          </w:p>
        </w:tc>
        <w:tc>
          <w:tcPr/>
          <w:p>
            <w:pPr>
              <w:pStyle w:val="Compact"/>
              <w:jc w:val="left"/>
            </w:pPr>
            <w:r>
              <w:t xml:space="preserve">Sends to a stage out of sequence</w:t>
            </w:r>
          </w:p>
        </w:tc>
        <w:tc>
          <w:tcPr/>
          <w:p>
            <w:pPr>
              <w:pStyle w:val="Compact"/>
              <w:jc w:val="left"/>
            </w:pPr>
            <w:r>
              <w:t xml:space="preserve">Target stage, whether the application returns to the referring stage afterwards</w:t>
            </w:r>
          </w:p>
        </w:tc>
      </w:tr>
      <w:tr>
        <w:tc>
          <w:tcPr/>
          <w:p>
            <w:pPr>
              <w:pStyle w:val="Compact"/>
              <w:jc w:val="left"/>
            </w:pPr>
            <w:r>
              <w:t xml:space="preserve">Escalate</w:t>
            </w:r>
          </w:p>
        </w:tc>
        <w:tc>
          <w:tcPr/>
          <w:p>
            <w:pPr>
              <w:pStyle w:val="Compact"/>
              <w:jc w:val="left"/>
            </w:pPr>
            <w:r>
              <w:t xml:space="preserve">Raises to a senior role without moving stage</w:t>
            </w:r>
          </w:p>
        </w:tc>
        <w:tc>
          <w:tcPr/>
          <w:p>
            <w:pPr>
              <w:pStyle w:val="Compact"/>
              <w:jc w:val="left"/>
            </w:pPr>
            <w:r>
              <w:t xml:space="preserve">Escalation target, trigger (manual or SLA breach)</w:t>
            </w:r>
          </w:p>
        </w:tc>
      </w:tr>
      <w:tr>
        <w:tc>
          <w:tcPr/>
          <w:p>
            <w:pPr>
              <w:pStyle w:val="Compact"/>
              <w:jc w:val="left"/>
            </w:pPr>
            <w:r>
              <w:t xml:space="preserve">Put on hold</w:t>
            </w:r>
          </w:p>
        </w:tc>
        <w:tc>
          <w:tcPr/>
          <w:p>
            <w:pPr>
              <w:pStyle w:val="Compact"/>
              <w:jc w:val="left"/>
            </w:pPr>
            <w:r>
              <w:t xml:space="preserve">Suspends with the clock stopped</w:t>
            </w:r>
          </w:p>
        </w:tc>
        <w:tc>
          <w:tcPr/>
          <w:p>
            <w:pPr>
              <w:pStyle w:val="Compact"/>
              <w:jc w:val="left"/>
            </w:pPr>
            <w:r>
              <w:t xml:space="preserve">Reason, review date</w:t>
            </w:r>
          </w:p>
        </w:tc>
      </w:tr>
      <w:tr>
        <w:tc>
          <w:tcPr/>
          <w:p>
            <w:pPr>
              <w:pStyle w:val="Compact"/>
              <w:jc w:val="left"/>
            </w:pPr>
            <w:r>
              <w:t xml:space="preserve">Withdraw</w:t>
            </w:r>
          </w:p>
        </w:tc>
        <w:tc>
          <w:tcPr/>
          <w:p>
            <w:pPr>
              <w:pStyle w:val="Compact"/>
              <w:jc w:val="left"/>
            </w:pPr>
            <w:r>
              <w:t xml:space="preserve">Applicant-initiated exit</w:t>
            </w:r>
          </w:p>
        </w:tc>
        <w:tc>
          <w:tcPr/>
          <w:p>
            <w:pPr>
              <w:pStyle w:val="Compact"/>
              <w:jc w:val="left"/>
            </w:pPr>
            <w:r>
              <w:t xml:space="preserve">Allowed stages, whether re-submission is permitted</w:t>
            </w:r>
          </w:p>
        </w:tc>
      </w:tr>
      <w:tr>
        <w:tc>
          <w:tcPr/>
          <w:p>
            <w:pPr>
              <w:pStyle w:val="Compact"/>
              <w:jc w:val="left"/>
            </w:pPr>
            <w:r>
              <w:t xml:space="preserve">Defer</w:t>
            </w:r>
          </w:p>
        </w:tc>
        <w:tc>
          <w:tcPr/>
          <w:p>
            <w:pPr>
              <w:pStyle w:val="Compact"/>
              <w:jc w:val="left"/>
            </w:pPr>
            <w:r>
              <w:t xml:space="preserve">Holds for a later committee or call</w:t>
            </w:r>
          </w:p>
        </w:tc>
        <w:tc>
          <w:tcPr/>
          <w:p>
            <w:pPr>
              <w:pStyle w:val="Compact"/>
              <w:jc w:val="left"/>
            </w:pPr>
            <w:r>
              <w:t xml:space="preserve">Target date or call</w:t>
            </w:r>
          </w:p>
        </w:tc>
      </w:tr>
    </w:tbl>
    <w:p>
      <w:pPr>
        <w:pStyle w:val="BodyText"/>
      </w:pPr>
      <w:r>
        <w:t xml:space="preserve">Transition rules attach conditions to actions: minimum number of reviews complete, score above threshold, all mandatory fields captured, all mandatory documents verified, quorum met, value within the actor’s delegation band. Where a condition fails, the action is unavailable rather than failing on submission.</w:t>
      </w:r>
    </w:p>
    <w:p>
      <w:pPr>
        <w:pStyle w:val="BodyText"/>
      </w:pPr>
      <w:r>
        <w:t xml:space="preserve">Parallel stages are needed. Technical and financial review typically run concurrently, with a join condition before moderation opens. A purely sequential engine will force artificial ordering and lengthen turnaround.</w:t>
      </w:r>
    </w:p>
    <w:p>
      <w:pPr>
        <w:pStyle w:val="BodyText"/>
      </w:pPr>
      <w:r>
        <w:t xml:space="preserve">Automatic transitions must also be supported: advance when all reviews are in, auto-reject on hard eligibility failure, auto-escalate on SLA breach, auto-close after the appeal window lapses.</w:t>
      </w:r>
    </w:p>
    <w:bookmarkEnd w:id="42"/>
    <w:bookmarkStart w:id="43" w:name="cross-cutting-requirements"/>
    <w:p>
      <w:pPr>
        <w:pStyle w:val="Heading1"/>
      </w:pPr>
      <w:r>
        <w:t xml:space="preserve">10. Cross-cutting requirements</w:t>
      </w:r>
    </w:p>
    <w:p>
      <w:pPr>
        <w:pStyle w:val="FirstParagraph"/>
      </w:pPr>
      <w:r>
        <w:t xml:space="preserve">These apply to every stage regardless of configuration and should be engine behaviour rather than per-stage settings.</w:t>
      </w:r>
    </w:p>
    <w:p>
      <w:pPr>
        <w:numPr>
          <w:ilvl w:val="0"/>
          <w:numId w:val="1018"/>
        </w:numPr>
        <w:pStyle w:val="Compact"/>
      </w:pPr>
      <w:r>
        <w:rPr>
          <w:bCs/>
          <w:b/>
        </w:rPr>
        <w:t xml:space="preserve">Audit trail.</w:t>
      </w:r>
      <w:r>
        <w:t xml:space="preserve"> </w:t>
      </w:r>
      <w:r>
        <w:t xml:space="preserve">Every action, field change, document version, assignment and decision recorded with actor, timestamp, before and after values, and reason. Non-repudiable and not editable by administrators.</w:t>
      </w:r>
    </w:p>
    <w:p>
      <w:pPr>
        <w:numPr>
          <w:ilvl w:val="0"/>
          <w:numId w:val="1018"/>
        </w:numPr>
        <w:pStyle w:val="Compact"/>
      </w:pPr>
      <w:r>
        <w:rPr>
          <w:bCs/>
          <w:b/>
        </w:rPr>
        <w:t xml:space="preserve">SLA clocks.</w:t>
      </w:r>
      <w:r>
        <w:t xml:space="preserve"> </w:t>
      </w:r>
      <w:r>
        <w:t xml:space="preserve">Per stage, with pause on RFI and hold, reminders before breach, escalation on breach, and reporting on turnaround by stage and by user.</w:t>
      </w:r>
    </w:p>
    <w:p>
      <w:pPr>
        <w:numPr>
          <w:ilvl w:val="0"/>
          <w:numId w:val="1018"/>
        </w:numPr>
        <w:pStyle w:val="Compact"/>
      </w:pPr>
      <w:r>
        <w:rPr>
          <w:bCs/>
          <w:b/>
        </w:rPr>
        <w:t xml:space="preserve">RFI loop.</w:t>
      </w:r>
      <w:r>
        <w:t xml:space="preserve"> </w:t>
      </w:r>
      <w:r>
        <w:t xml:space="preserve">Available from any stage, unlocking only the specified fields, with a deadline and an auto-action if the deadline passes.</w:t>
      </w:r>
    </w:p>
    <w:p>
      <w:pPr>
        <w:numPr>
          <w:ilvl w:val="0"/>
          <w:numId w:val="1018"/>
        </w:numPr>
        <w:pStyle w:val="Compact"/>
      </w:pPr>
      <w:r>
        <w:rPr>
          <w:bCs/>
          <w:b/>
        </w:rPr>
        <w:t xml:space="preserve">Document versioning.</w:t>
      </w:r>
      <w:r>
        <w:t xml:space="preserve"> </w:t>
      </w:r>
      <w:r>
        <w:t xml:space="preserve">Replacing a document never overwrites the prior version; verification status is held per version.</w:t>
      </w:r>
    </w:p>
    <w:p>
      <w:pPr>
        <w:numPr>
          <w:ilvl w:val="0"/>
          <w:numId w:val="1018"/>
        </w:numPr>
        <w:pStyle w:val="Compact"/>
      </w:pPr>
      <w:r>
        <w:rPr>
          <w:bCs/>
          <w:b/>
        </w:rPr>
        <w:t xml:space="preserve">Reason codes.</w:t>
      </w:r>
      <w:r>
        <w:t xml:space="preserve"> </w:t>
      </w:r>
      <w:r>
        <w:t xml:space="preserve">Configurable code lists per action rather than free text, since M&amp;E and audit reporting depend on them. Free-text notes sit alongside the code, not instead of it.</w:t>
      </w:r>
    </w:p>
    <w:p>
      <w:pPr>
        <w:numPr>
          <w:ilvl w:val="0"/>
          <w:numId w:val="1018"/>
        </w:numPr>
        <w:pStyle w:val="Compact"/>
      </w:pPr>
      <w:r>
        <w:rPr>
          <w:bCs/>
          <w:b/>
        </w:rPr>
        <w:t xml:space="preserve">Bulk actions.</w:t>
      </w:r>
      <w:r>
        <w:t xml:space="preserve"> </w:t>
      </w:r>
      <w:r>
        <w:t xml:space="preserve">Allocation, screening outcomes and notifications must be actionable in bulk for high-volume calls.</w:t>
      </w:r>
    </w:p>
    <w:p>
      <w:pPr>
        <w:numPr>
          <w:ilvl w:val="0"/>
          <w:numId w:val="1018"/>
        </w:numPr>
        <w:pStyle w:val="Compact"/>
      </w:pPr>
      <w:r>
        <w:rPr>
          <w:bCs/>
          <w:b/>
        </w:rPr>
        <w:t xml:space="preserve">Notifications.</w:t>
      </w:r>
      <w:r>
        <w:t xml:space="preserve"> </w:t>
      </w:r>
      <w:r>
        <w:t xml:space="preserve">Configurable per event, recipient and channel, with templates holding merge fields and a full send log.</w:t>
      </w:r>
    </w:p>
    <w:p>
      <w:pPr>
        <w:numPr>
          <w:ilvl w:val="0"/>
          <w:numId w:val="1018"/>
        </w:numPr>
        <w:pStyle w:val="Compact"/>
      </w:pPr>
      <w:r>
        <w:rPr>
          <w:bCs/>
          <w:b/>
        </w:rPr>
        <w:t xml:space="preserve">Concurrency.</w:t>
      </w:r>
      <w:r>
        <w:t xml:space="preserve"> </w:t>
      </w:r>
      <w:r>
        <w:t xml:space="preserve">Two reviewers working the same application must not overwrite one another.</w:t>
      </w:r>
    </w:p>
    <w:p>
      <w:pPr>
        <w:numPr>
          <w:ilvl w:val="0"/>
          <w:numId w:val="1018"/>
        </w:numPr>
        <w:pStyle w:val="Compact"/>
      </w:pPr>
      <w:r>
        <w:rPr>
          <w:bCs/>
          <w:b/>
        </w:rPr>
        <w:t xml:space="preserve">Reporting and dashboards.</w:t>
      </w:r>
      <w:r>
        <w:t xml:space="preserve"> </w:t>
      </w:r>
      <w:r>
        <w:t xml:space="preserve">Pipeline by stage, ageing, turnaround, outcome by reason code, reviewer load, budget committed against envelope, and indicator performance across the portfolio.</w:t>
      </w:r>
    </w:p>
    <w:p>
      <w:pPr>
        <w:numPr>
          <w:ilvl w:val="0"/>
          <w:numId w:val="1018"/>
        </w:numPr>
        <w:pStyle w:val="Compact"/>
      </w:pPr>
      <w:r>
        <w:rPr>
          <w:bCs/>
          <w:b/>
        </w:rPr>
        <w:t xml:space="preserve">Data retention and POPIA.</w:t>
      </w:r>
      <w:r>
        <w:t xml:space="preserve"> </w:t>
      </w:r>
      <w:r>
        <w:t xml:space="preserve">Applicant personal information, reviewer identity protection, retention periods per record type, and consent capture at submission.</w:t>
      </w:r>
    </w:p>
    <w:bookmarkEnd w:id="43"/>
    <w:bookmarkStart w:id="44" w:name="template-governance"/>
    <w:p>
      <w:pPr>
        <w:pStyle w:val="Heading1"/>
      </w:pPr>
      <w:r>
        <w:t xml:space="preserve">11. Template governance</w:t>
      </w:r>
    </w:p>
    <w:p>
      <w:pPr>
        <w:pStyle w:val="FirstParagraph"/>
      </w:pPr>
      <w:r>
        <w:t xml:space="preserve">Configurability without governance produces unusable variation. Four controls keep it manageable.</w:t>
      </w:r>
    </w:p>
    <w:p>
      <w:pPr>
        <w:numPr>
          <w:ilvl w:val="0"/>
          <w:numId w:val="1019"/>
        </w:numPr>
        <w:pStyle w:val="Compact"/>
      </w:pPr>
      <w:r>
        <w:rPr>
          <w:bCs/>
          <w:b/>
        </w:rPr>
        <w:t xml:space="preserve">Versioning.</w:t>
      </w:r>
      <w:r>
        <w:t xml:space="preserve"> </w:t>
      </w:r>
      <w:r>
        <w:t xml:space="preserve">Templates are versioned and immutable once published. Editing a published template creates a new version. An application is bound to the version live at its submission.</w:t>
      </w:r>
    </w:p>
    <w:p>
      <w:pPr>
        <w:numPr>
          <w:ilvl w:val="0"/>
          <w:numId w:val="1019"/>
        </w:numPr>
        <w:pStyle w:val="Compact"/>
      </w:pPr>
      <w:r>
        <w:rPr>
          <w:bCs/>
          <w:b/>
        </w:rPr>
        <w:t xml:space="preserve">Clone and adapt.</w:t>
      </w:r>
      <w:r>
        <w:t xml:space="preserve"> </w:t>
      </w:r>
      <w:r>
        <w:t xml:space="preserve">Administrators create a call workflow by cloning the standard template and switching stages off or adding them, not by building from an empty canvas.</w:t>
      </w:r>
    </w:p>
    <w:p>
      <w:pPr>
        <w:numPr>
          <w:ilvl w:val="0"/>
          <w:numId w:val="1019"/>
        </w:numPr>
        <w:pStyle w:val="Compact"/>
      </w:pPr>
      <w:r>
        <w:rPr>
          <w:bCs/>
          <w:b/>
        </w:rPr>
        <w:t xml:space="preserve">Validation before publication.</w:t>
      </w:r>
      <w:r>
        <w:t xml:space="preserve"> </w:t>
      </w:r>
      <w:r>
        <w:t xml:space="preserve">The system must refuse to publish a template with an unreachable stage, a stage with no assigned role, a terminal stage with no decision action, or scoring weights that do not total 100.</w:t>
      </w:r>
    </w:p>
    <w:p>
      <w:pPr>
        <w:numPr>
          <w:ilvl w:val="0"/>
          <w:numId w:val="1019"/>
        </w:numPr>
        <w:pStyle w:val="Compact"/>
      </w:pPr>
      <w:r>
        <w:rPr>
          <w:bCs/>
          <w:b/>
        </w:rPr>
        <w:t xml:space="preserve">Approval to publish.</w:t>
      </w:r>
      <w:r>
        <w:t xml:space="preserve"> </w:t>
      </w:r>
      <w:r>
        <w:t xml:space="preserve">Template and call configuration changes are themselves approved, since they determine how public money is allocated. Configuration changes are audit-logged like any other transaction.</w:t>
      </w:r>
    </w:p>
    <w:p>
      <w:pPr>
        <w:pStyle w:val="FirstParagraph"/>
      </w:pPr>
      <w:r>
        <w:t xml:space="preserve">Open question for the development team: whether a template may be amended mid-call in an emergency, for example to add a stage after a call has opened. Our position is that it must be possible but must create a new version, apply only to applications submitted after the change, and require a documented approval.</w:t>
      </w:r>
    </w:p>
    <w:bookmarkEnd w:id="44"/>
    <w:bookmarkStart w:id="48" w:name="public-portal"/>
    <w:p>
      <w:pPr>
        <w:pStyle w:val="Heading1"/>
      </w:pPr>
      <w:r>
        <w:t xml:space="preserve">12. Public portal</w:t>
      </w:r>
    </w:p>
    <w:p>
      <w:pPr>
        <w:pStyle w:val="FirstParagraph"/>
      </w:pPr>
      <w:r>
        <w:t xml:space="preserve">Calls are published to a public web portal and applicants apply online, so the solution has two faces: a public, unauthenticated site and an authenticated applicant area, both driven by the same call configuration. Nothing about a call may be maintained twice.</w:t>
      </w:r>
    </w:p>
    <w:bookmarkStart w:id="45" w:name="public-unauthenticated"/>
    <w:p>
      <w:pPr>
        <w:pStyle w:val="Heading2"/>
      </w:pPr>
      <w:r>
        <w:t xml:space="preserve">12.1 Public, unauthenticated</w:t>
      </w:r>
    </w:p>
    <w:p>
      <w:pPr>
        <w:numPr>
          <w:ilvl w:val="0"/>
          <w:numId w:val="1020"/>
        </w:numPr>
        <w:pStyle w:val="Compact"/>
      </w:pPr>
      <w:r>
        <w:t xml:space="preserve">Call listing with filters by instrument, thematic area, status and closing date, and a detail page per call.</w:t>
      </w:r>
    </w:p>
    <w:p>
      <w:pPr>
        <w:numPr>
          <w:ilvl w:val="0"/>
          <w:numId w:val="1020"/>
        </w:numPr>
        <w:pStyle w:val="Compact"/>
      </w:pPr>
      <w:r>
        <w:t xml:space="preserve">Call detail rendered from the call record itself: scope, eligibility summary, amounts, dates, documents to download, contact person.</w:t>
      </w:r>
    </w:p>
    <w:p>
      <w:pPr>
        <w:numPr>
          <w:ilvl w:val="0"/>
          <w:numId w:val="1020"/>
        </w:numPr>
        <w:pStyle w:val="Compact"/>
      </w:pPr>
      <w:r>
        <w:t xml:space="preserve">Eligibility self-check runnable before registration, using the same ruleset as stage 4.3, with the result shown as guidance and never stored as a decision.</w:t>
      </w:r>
    </w:p>
    <w:p>
      <w:pPr>
        <w:numPr>
          <w:ilvl w:val="0"/>
          <w:numId w:val="1020"/>
        </w:numPr>
        <w:pStyle w:val="Compact"/>
      </w:pPr>
      <w:r>
        <w:t xml:space="preserve">Downloadable call documents with version numbers, plus a published addenda and clarifications log.</w:t>
      </w:r>
    </w:p>
    <w:p>
      <w:pPr>
        <w:numPr>
          <w:ilvl w:val="0"/>
          <w:numId w:val="1020"/>
        </w:numPr>
        <w:pStyle w:val="Compact"/>
      </w:pPr>
      <w:r>
        <w:t xml:space="preserve">Closed and awarded calls remain visible as an archive, with award outcomes published where policy requires.</w:t>
      </w:r>
    </w:p>
    <w:p>
      <w:pPr>
        <w:numPr>
          <w:ilvl w:val="0"/>
          <w:numId w:val="1020"/>
        </w:numPr>
        <w:pStyle w:val="Compact"/>
      </w:pPr>
      <w:r>
        <w:t xml:space="preserve">Search-engine indexing and shareable call URLs, since calls are advertised externally.</w:t>
      </w:r>
    </w:p>
    <w:bookmarkEnd w:id="45"/>
    <w:bookmarkStart w:id="46" w:name="authenticated-applicant-area"/>
    <w:p>
      <w:pPr>
        <w:pStyle w:val="Heading2"/>
      </w:pPr>
      <w:r>
        <w:t xml:space="preserve">12.2 Authenticated applicant area</w:t>
      </w:r>
    </w:p>
    <w:p>
      <w:pPr>
        <w:numPr>
          <w:ilvl w:val="0"/>
          <w:numId w:val="1021"/>
        </w:numPr>
        <w:pStyle w:val="Compact"/>
      </w:pPr>
      <w:r>
        <w:t xml:space="preserve">Self-registration with email verification, plus organisation profile reused across calls so returning applicants do not recapture entity details.</w:t>
      </w:r>
    </w:p>
    <w:p>
      <w:pPr>
        <w:numPr>
          <w:ilvl w:val="0"/>
          <w:numId w:val="1021"/>
        </w:numPr>
        <w:pStyle w:val="Compact"/>
      </w:pPr>
      <w:r>
        <w:t xml:space="preserve">One dashboard listing the applicant’s drafts, submissions, outstanding requests for information, reporting obligations and payment status.</w:t>
      </w:r>
    </w:p>
    <w:p>
      <w:pPr>
        <w:numPr>
          <w:ilvl w:val="0"/>
          <w:numId w:val="1021"/>
        </w:numPr>
        <w:pStyle w:val="Compact"/>
      </w:pPr>
      <w:r>
        <w:t xml:space="preserve">Application capture with autosave, resumable drafts, section-by-section validation and a visible completeness indicator.</w:t>
      </w:r>
    </w:p>
    <w:p>
      <w:pPr>
        <w:numPr>
          <w:ilvl w:val="0"/>
          <w:numId w:val="1021"/>
        </w:numPr>
        <w:pStyle w:val="Compact"/>
      </w:pPr>
      <w:r>
        <w:t xml:space="preserve">Document upload against the call’s document checklist, with format and size validation on the client and re-validation on the server.</w:t>
      </w:r>
    </w:p>
    <w:p>
      <w:pPr>
        <w:numPr>
          <w:ilvl w:val="0"/>
          <w:numId w:val="1021"/>
        </w:numPr>
        <w:pStyle w:val="Compact"/>
      </w:pPr>
      <w:r>
        <w:t xml:space="preserve">Submission produces a reference number and a downloadable PDF of the submitted application as lodged.</w:t>
      </w:r>
    </w:p>
    <w:p>
      <w:pPr>
        <w:numPr>
          <w:ilvl w:val="0"/>
          <w:numId w:val="1021"/>
        </w:numPr>
        <w:pStyle w:val="Compact"/>
      </w:pPr>
      <w:r>
        <w:t xml:space="preserve">Status tracking that shows the applicant a simplified view of progress. Internal stage names, scores and reviewer identities are never exposed; publish a mapped public status such as Submitted, Under assessment, Decision pending, Outcome issued.</w:t>
      </w:r>
    </w:p>
    <w:p>
      <w:pPr>
        <w:numPr>
          <w:ilvl w:val="0"/>
          <w:numId w:val="1021"/>
        </w:numPr>
        <w:pStyle w:val="Compact"/>
      </w:pPr>
      <w:r>
        <w:t xml:space="preserve">Correspondence in the portal: RFIs, clarification requests, outcome letters and appeals all raised and answered on the site, with email as notification only and the portal as the record.</w:t>
      </w:r>
    </w:p>
    <w:p>
      <w:pPr>
        <w:numPr>
          <w:ilvl w:val="0"/>
          <w:numId w:val="1021"/>
        </w:numPr>
        <w:pStyle w:val="Compact"/>
      </w:pPr>
      <w:r>
        <w:t xml:space="preserve">Post-award reporting through the same login, so stages 5.12 to 5.14 claims, progress reports and evidence uploads are applicant self-service.</w:t>
      </w:r>
    </w:p>
    <w:bookmarkEnd w:id="46"/>
    <w:bookmarkStart w:id="47" w:name="consequences-for-the-workflow-engine"/>
    <w:p>
      <w:pPr>
        <w:pStyle w:val="Heading2"/>
      </w:pPr>
      <w:r>
        <w:t xml:space="preserve">12.3 Consequences for the workflow engine</w:t>
      </w:r>
    </w:p>
    <w:p>
      <w:pPr>
        <w:pStyle w:val="FirstParagraph"/>
      </w:pPr>
      <w:r>
        <w:t xml:space="preserve">Publishing a call becomes a transition with a public side effect. Stage 4.1 must therefore distinguish drafting, internal approval, scheduled publication, live, closed and archived, and the engine must handle scheduled open and close by server time.</w:t>
      </w:r>
    </w:p>
    <w:p>
      <w:pPr>
        <w:pStyle w:val="BodyText"/>
      </w:pPr>
      <w:r>
        <w:t xml:space="preserve">Two further points follow. The call configuration drives the public form, so a field added at configuration appears on the public application without a release. And every applicant-facing label, message and reason code in the configuration is published text, which means it needs review before it goes live and, where we operate multilingually, a translation.</w:t>
      </w:r>
    </w:p>
    <w:bookmarkEnd w:id="47"/>
    <w:bookmarkEnd w:id="48"/>
    <w:bookmarkStart w:id="49" w:name="web-specific-non-functional-requirements"/>
    <w:p>
      <w:pPr>
        <w:pStyle w:val="Heading1"/>
      </w:pPr>
      <w:r>
        <w:t xml:space="preserve">13. Web-specific non-functional requirements</w:t>
      </w:r>
    </w:p>
    <w:p>
      <w:pPr>
        <w:pStyle w:val="FirstParagraph"/>
      </w:pPr>
      <w:r>
        <w:t xml:space="preserve">A public portal carries obligations an internal system does not.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Requirement</w:t>
            </w:r>
          </w:p>
        </w:tc>
      </w:tr>
      <w:tr>
        <w:tc>
          <w:tcPr/>
          <w:p>
            <w:pPr>
              <w:pStyle w:val="Compact"/>
              <w:jc w:val="left"/>
            </w:pPr>
            <w:r>
              <w:t xml:space="preserve">Deadline load</w:t>
            </w:r>
          </w:p>
        </w:tc>
        <w:tc>
          <w:tcPr/>
          <w:p>
            <w:pPr>
              <w:pStyle w:val="Compact"/>
              <w:jc w:val="left"/>
            </w:pPr>
            <w:r>
              <w:t xml:space="preserve">Submissions concentrate in the final hours before closing. Size for that peak, not the average, and load-test it. Server time is authoritative for the deadline and must be displayed to the applicant with a countdown.</w:t>
            </w:r>
          </w:p>
        </w:tc>
      </w:tr>
      <w:tr>
        <w:tc>
          <w:tcPr/>
          <w:p>
            <w:pPr>
              <w:pStyle w:val="Compact"/>
              <w:jc w:val="left"/>
            </w:pPr>
            <w:r>
              <w:t xml:space="preserve">Uploads</w:t>
            </w:r>
          </w:p>
        </w:tc>
        <w:tc>
          <w:tcPr/>
          <w:p>
            <w:pPr>
              <w:pStyle w:val="Compact"/>
              <w:jc w:val="left"/>
            </w:pPr>
            <w:r>
              <w:t xml:space="preserve">Large files over poor connections are the most common failure. Resumable or chunked upload, clear progress, virus scanning, and a per-call size cap that is enforced and stated up front.</w:t>
            </w:r>
          </w:p>
        </w:tc>
      </w:tr>
      <w:tr>
        <w:tc>
          <w:tcPr/>
          <w:p>
            <w:pPr>
              <w:pStyle w:val="Compact"/>
              <w:jc w:val="left"/>
            </w:pPr>
            <w:r>
              <w:t xml:space="preserve">Accessibility</w:t>
            </w:r>
          </w:p>
        </w:tc>
        <w:tc>
          <w:tcPr/>
          <w:p>
            <w:pPr>
              <w:pStyle w:val="Compact"/>
              <w:jc w:val="left"/>
            </w:pPr>
            <w:r>
              <w:t xml:space="preserve">WCAG 2.1 AA for the public site and applicant area, since a public funder cannot exclude applicants with disabilities.</w:t>
            </w:r>
          </w:p>
        </w:tc>
      </w:tr>
      <w:tr>
        <w:tc>
          <w:tcPr/>
          <w:p>
            <w:pPr>
              <w:pStyle w:val="Compact"/>
              <w:jc w:val="left"/>
            </w:pPr>
            <w:r>
              <w:t xml:space="preserve">Mobile and low bandwidth</w:t>
            </w:r>
          </w:p>
        </w:tc>
        <w:tc>
          <w:tcPr/>
          <w:p>
            <w:pPr>
              <w:pStyle w:val="Compact"/>
              <w:jc w:val="left"/>
            </w:pPr>
            <w:r>
              <w:t xml:space="preserve">Many applicants apply on a phone. The application form must be usable on a small screen and tolerant of dropped connections through autosave.</w:t>
            </w:r>
          </w:p>
        </w:tc>
      </w:tr>
      <w:tr>
        <w:tc>
          <w:tcPr/>
          <w:p>
            <w:pPr>
              <w:pStyle w:val="Compact"/>
              <w:jc w:val="left"/>
            </w:pPr>
            <w:r>
              <w:t xml:space="preserve">Identity and account security</w:t>
            </w:r>
          </w:p>
        </w:tc>
        <w:tc>
          <w:tcPr/>
          <w:p>
            <w:pPr>
              <w:pStyle w:val="Compact"/>
              <w:jc w:val="left"/>
            </w:pPr>
            <w:r>
              <w:t xml:space="preserve">Email verification, password policy, multi-factor authentication at least for staff, session timeout, and account recovery that cannot be used to hijack a submission.</w:t>
            </w:r>
          </w:p>
        </w:tc>
      </w:tr>
      <w:tr>
        <w:tc>
          <w:tcPr/>
          <w:p>
            <w:pPr>
              <w:pStyle w:val="Compact"/>
              <w:jc w:val="left"/>
            </w:pPr>
            <w:r>
              <w:t xml:space="preserve">Separation of zones</w:t>
            </w:r>
          </w:p>
        </w:tc>
        <w:tc>
          <w:tcPr/>
          <w:p>
            <w:pPr>
              <w:pStyle w:val="Compact"/>
              <w:jc w:val="left"/>
            </w:pPr>
            <w:r>
              <w:t xml:space="preserve">Public content, applicant area and internal assessment are separate trust zones. Reviewer identities, scores and internal comments must never be reachable from an applicant session.</w:t>
            </w:r>
          </w:p>
        </w:tc>
      </w:tr>
      <w:tr>
        <w:tc>
          <w:tcPr/>
          <w:p>
            <w:pPr>
              <w:pStyle w:val="Compact"/>
              <w:jc w:val="left"/>
            </w:pPr>
            <w:r>
              <w:t xml:space="preserve">Availability</w:t>
            </w:r>
          </w:p>
        </w:tc>
        <w:tc>
          <w:tcPr/>
          <w:p>
            <w:pPr>
              <w:pStyle w:val="Compact"/>
              <w:jc w:val="left"/>
            </w:pPr>
            <w:r>
              <w:t xml:space="preserve">Publish a maintenance window that excludes the week before any closing date. Unplanned downtime near a deadline has to trigger a documented extension.</w:t>
            </w:r>
          </w:p>
        </w:tc>
      </w:tr>
      <w:tr>
        <w:tc>
          <w:tcPr/>
          <w:p>
            <w:pPr>
              <w:pStyle w:val="Compact"/>
              <w:jc w:val="left"/>
            </w:pPr>
            <w:r>
              <w:t xml:space="preserve">POPIA</w:t>
            </w:r>
          </w:p>
        </w:tc>
        <w:tc>
          <w:tcPr/>
          <w:p>
            <w:pPr>
              <w:pStyle w:val="Compact"/>
              <w:jc w:val="left"/>
            </w:pPr>
            <w:r>
              <w:t xml:space="preserve">Consent at registration, a privacy notice, subject access and deletion handling, and retention rules per record type.</w:t>
            </w:r>
          </w:p>
        </w:tc>
      </w:tr>
      <w:tr>
        <w:tc>
          <w:tcPr/>
          <w:p>
            <w:pPr>
              <w:pStyle w:val="Compact"/>
              <w:jc w:val="left"/>
            </w:pPr>
            <w:r>
              <w:t xml:space="preserve">Audit of public content</w:t>
            </w:r>
          </w:p>
        </w:tc>
        <w:tc>
          <w:tcPr/>
          <w:p>
            <w:pPr>
              <w:pStyle w:val="Compact"/>
              <w:jc w:val="left"/>
            </w:pPr>
            <w:r>
              <w:t xml:space="preserve">Every published version of a call, its documents and its addenda retained, because applicants may later dispute what the call said when they applied.</w:t>
            </w:r>
          </w:p>
        </w:tc>
      </w:tr>
      <w:tr>
        <w:tc>
          <w:tcPr/>
          <w:p>
            <w:pPr>
              <w:pStyle w:val="Compact"/>
              <w:jc w:val="left"/>
            </w:pPr>
            <w:r>
              <w:t xml:space="preserve">Integration</w:t>
            </w:r>
          </w:p>
        </w:tc>
        <w:tc>
          <w:tcPr/>
          <w:p>
            <w:pPr>
              <w:pStyle w:val="Compact"/>
              <w:jc w:val="left"/>
            </w:pPr>
            <w:r>
              <w:t xml:space="preserve">Email and SMS gateway, document storage, and any external verification register called at screening or due diligence.</w:t>
            </w:r>
          </w:p>
        </w:tc>
      </w:tr>
    </w:tbl>
    <w:bookmarkEnd w:id="49"/>
    <w:bookmarkStart w:id="50" w:name="decisions-still-needed-from-the-business"/>
    <w:p>
      <w:pPr>
        <w:pStyle w:val="Heading1"/>
      </w:pPr>
      <w:r>
        <w:t xml:space="preserve">14. Decisions still needed from the business</w:t>
      </w:r>
    </w:p>
    <w:p>
      <w:pPr>
        <w:pStyle w:val="FirstParagraph"/>
      </w:pPr>
      <w:r>
        <w:t xml:space="preserve">These affect scope and should be settled before the technical design is finalised.</w:t>
      </w:r>
    </w:p>
    <w:p>
      <w:pPr>
        <w:numPr>
          <w:ilvl w:val="0"/>
          <w:numId w:val="1022"/>
        </w:numPr>
        <w:pStyle w:val="Compact"/>
      </w:pPr>
      <w:r>
        <w:t xml:space="preserve">Confirm the delegation of authority bands that route stage 4.9, and who approves at each band.</w:t>
      </w:r>
    </w:p>
    <w:p>
      <w:pPr>
        <w:numPr>
          <w:ilvl w:val="0"/>
          <w:numId w:val="1022"/>
        </w:numPr>
        <w:pStyle w:val="Compact"/>
      </w:pPr>
      <w:r>
        <w:t xml:space="preserve">Confirm whether external reviewers are given system accounts or work through a limited reviewer portal.</w:t>
      </w:r>
    </w:p>
    <w:p>
      <w:pPr>
        <w:numPr>
          <w:ilvl w:val="0"/>
          <w:numId w:val="1022"/>
        </w:numPr>
        <w:pStyle w:val="Compact"/>
      </w:pPr>
      <w:r>
        <w:t xml:space="preserve">Confirm the appeal window at stage 4.10 and whether appeals may re-open scoring or only process compliance.</w:t>
      </w:r>
    </w:p>
    <w:p>
      <w:pPr>
        <w:numPr>
          <w:ilvl w:val="0"/>
          <w:numId w:val="1022"/>
        </w:numPr>
        <w:pStyle w:val="Compact"/>
      </w:pPr>
      <w:r>
        <w:t xml:space="preserve">Confirm whether the concept note and full proposal two-step applies to any current instrument, or whether single-step submission is sufficient for phase one.</w:t>
      </w:r>
    </w:p>
    <w:p>
      <w:pPr>
        <w:numPr>
          <w:ilvl w:val="0"/>
          <w:numId w:val="1022"/>
        </w:numPr>
        <w:pStyle w:val="Compact"/>
      </w:pPr>
      <w:r>
        <w:t xml:space="preserve">Confirm the standard indicator set for the results framework, and whether calls may define additional custom indicators.</w:t>
      </w:r>
    </w:p>
    <w:p>
      <w:pPr>
        <w:numPr>
          <w:ilvl w:val="0"/>
          <w:numId w:val="1022"/>
        </w:numPr>
        <w:pStyle w:val="Compact"/>
      </w:pPr>
      <w:r>
        <w:t xml:space="preserve">Confirm which external registers must be integrated for verification (entity registration, tax status, debarment), or whether verification stays manual in phase one.</w:t>
      </w:r>
    </w:p>
    <w:p>
      <w:pPr>
        <w:numPr>
          <w:ilvl w:val="0"/>
          <w:numId w:val="1022"/>
        </w:numPr>
        <w:pStyle w:val="Compact"/>
      </w:pPr>
      <w:r>
        <w:t xml:space="preserve">Confirm retention periods per record type for POPIA compliance.</w:t>
      </w:r>
    </w:p>
    <w:p>
      <w:pPr>
        <w:numPr>
          <w:ilvl w:val="0"/>
          <w:numId w:val="1022"/>
        </w:numPr>
        <w:pStyle w:val="Compact"/>
      </w:pPr>
      <w:r>
        <w:t xml:space="preserve">Confirm which award outcomes are published publicly, and whether unsuccessful applicants are named.</w:t>
      </w:r>
    </w:p>
    <w:p>
      <w:pPr>
        <w:numPr>
          <w:ilvl w:val="0"/>
          <w:numId w:val="1022"/>
        </w:numPr>
        <w:pStyle w:val="Compact"/>
      </w:pPr>
      <w:r>
        <w:t xml:space="preserve">Agree whether phase one delivers the full configuration UI or a seeded standard template with configuration by the vendor, with the UI in phase two.</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M&amp;E Workflow Engine — Standard Stages and Configurability Specification</dc:title>
  <dc:creator/>
  <cp:keywords/>
  <dcterms:created xsi:type="dcterms:W3CDTF">2026-09-17T10:40:26Z</dcterms:created>
  <dcterms:modified xsi:type="dcterms:W3CDTF">2026-09-17T10:40:26Z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As at 17 September 2026</vt:lpwstr>
  </property>
  <property fmtid="{D5CDD505-2E9C-101B-9397-08002B2CF9AE}" pid="3" name="subtitle">
    <vt:lpwstr>Response to the development team’s clarification request</vt:lpwstr>
  </property>
</Properties>
</file>