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AutoReport: 10/8/2024 22:56</w:t>
      </w:r>
    </w:p>
    <w:p>
      <w:pPr>
        <w:pStyle w:val="Heading1"/>
      </w:pPr>
      <w:r>
        <w:t>EXECUTIVE SUMMARY</w:t>
      </w:r>
    </w:p>
    <w:p>
      <w:r>
        <w:t xml:space="preserve">  </w:t>
        <w:br/>
        <w:t xml:space="preserve">The meeting discussed the unchanged orders, revenue, and profit forecasts. Key financial metrics for Q1 FY2024 were shared, including orders received of ¥456.8 billion, revenue of ¥444.2 billion, and business profit of ¥16.9 billion. </w:t>
        <w:br/>
        <w:br/>
      </w:r>
    </w:p>
    <w:p>
      <w:pPr>
        <w:pStyle w:val="Heading1"/>
      </w:pPr>
      <w:r>
        <w:t>MAIN POINTS</w:t>
      </w:r>
    </w:p>
    <w:p>
      <w:r>
        <w:t xml:space="preserve">  </w:t>
        <w:br/>
        <w:t xml:space="preserve">- Orders received: ¥456.8 billion  </w:t>
        <w:br/>
        <w:t xml:space="preserve">- Revenue: ¥444.2 billion  </w:t>
        <w:br/>
        <w:t xml:space="preserve">- Business profit: ¥16.9 billion  </w:t>
        <w:br/>
        <w:t xml:space="preserve">- Profit before tax: ¥25.8 billion  </w:t>
        <w:br/>
        <w:t xml:space="preserve">- Profit attributable to owners of the parent: ¥15.3 billion  </w:t>
        <w:br/>
        <w:t xml:space="preserve">- Weighted average exchange rate was ¥21 weaker compared to the previous year.  </w:t>
        <w:br/>
        <w:t xml:space="preserve">- US dollar transactions accounted for approximately $490 million.  </w:t>
        <w:br/>
        <w:t xml:space="preserve">- Details are further elaborated in the chart, specifically for the aerospace systems and precision machinery and robot segments.  </w:t>
        <w:br/>
        <w:br/>
      </w:r>
    </w:p>
    <w:p>
      <w:pPr>
        <w:pStyle w:val="Heading1"/>
      </w:pPr>
      <w:r>
        <w:t>CONCLUSION</w:t>
      </w:r>
    </w:p>
    <w:p>
      <w:r>
        <w:t xml:space="preserve">  </w:t>
        <w:br/>
        <w:t>The meeting concluded with a confirmation of the unchanged financial forecasts, highlighting the specific figures for orders, revenue, business profit, and exchange rate impacts. The detailed breakdown for segments will be provided in subsequent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