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5F90D" w14:textId="77777777" w:rsidR="00BB01B5" w:rsidRDefault="009E6E93">
      <w:pPr>
        <w:pStyle w:val="Ttulo"/>
      </w:pPr>
      <w:r>
        <w:t>AutoReport: 10/8/2024 22:58</w:t>
      </w:r>
    </w:p>
    <w:p w14:paraId="2E2035E0" w14:textId="77777777" w:rsidR="00BB01B5" w:rsidRDefault="009E6E93">
      <w:pPr>
        <w:pStyle w:val="Ttulo1"/>
      </w:pPr>
      <w:r>
        <w:t>EXECUTIVE SUMMARY</w:t>
      </w:r>
    </w:p>
    <w:p w14:paraId="24BF9729" w14:textId="77777777" w:rsidR="00BB01B5" w:rsidRDefault="009E6E93">
      <w:r>
        <w:t xml:space="preserve">  </w:t>
      </w:r>
      <w:r>
        <w:br/>
        <w:t xml:space="preserve">The meeting provided an overview of revenue and profit forecasts, which remain unchanged. Key figures for the first quarter of fiscal year 2024 were highlighted, including orders received, revenue, and </w:t>
      </w:r>
      <w:r>
        <w:t>business profit.</w:t>
      </w:r>
      <w:r>
        <w:br/>
      </w:r>
      <w:r>
        <w:br/>
      </w:r>
      <w:r w:rsidRPr="009E6E93">
        <w:rPr>
          <w:rStyle w:val="Ttulo1Car"/>
        </w:rPr>
        <w:t>MAIN POINTS:</w:t>
      </w:r>
      <w:r>
        <w:t xml:space="preserve">  </w:t>
      </w:r>
      <w:r>
        <w:br/>
        <w:t xml:space="preserve">- Orders received: 456.8 billion yen  </w:t>
      </w:r>
      <w:r>
        <w:br/>
        <w:t xml:space="preserve">- Revenue: 444.2 billion yen  </w:t>
      </w:r>
      <w:r>
        <w:br/>
        <w:t xml:space="preserve">- Business profit: 16.9 billion yen  </w:t>
      </w:r>
      <w:r>
        <w:br/>
        <w:t xml:space="preserve">- Profit before tax: 25.8 billion yen  </w:t>
      </w:r>
      <w:r>
        <w:br/>
        <w:t xml:space="preserve">- Profit attributable to owners of parent K: 15.3 billion yen  </w:t>
      </w:r>
      <w:r>
        <w:br/>
        <w:t xml:space="preserve">- Exchange </w:t>
      </w:r>
      <w:r>
        <w:t xml:space="preserve">rate noted as approximately 21 yen weaker than the previous year  </w:t>
      </w:r>
      <w:r>
        <w:br/>
        <w:t xml:space="preserve">- US dollar-based transactions estimated at 490 million dollars  </w:t>
      </w:r>
      <w:r>
        <w:br/>
        <w:t>- Detailed breakdown of orders received, revenue, and business profit for each segment presented.</w:t>
      </w:r>
      <w:r>
        <w:br/>
      </w:r>
      <w:r>
        <w:br/>
      </w:r>
      <w:r w:rsidRPr="009E6E93">
        <w:rPr>
          <w:rStyle w:val="Ttulo1Car"/>
        </w:rPr>
        <w:t>CONCLUSION:</w:t>
      </w:r>
      <w:r>
        <w:t xml:space="preserve">  </w:t>
      </w:r>
      <w:r>
        <w:br/>
        <w:t>The main f</w:t>
      </w:r>
      <w:r>
        <w:t>inancial metrics for the first quarter of fiscal year 2024 were established, with all forecasts remaining stable. The exchange rate's impact was acknowledged, and segmented performance is detailed for further analysis.</w:t>
      </w:r>
    </w:p>
    <w:sectPr w:rsidR="00BB01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E6E93"/>
    <w:rsid w:val="00AA1D8D"/>
    <w:rsid w:val="00B47730"/>
    <w:rsid w:val="00BB01B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3623C8"/>
  <w14:defaultImageDpi w14:val="300"/>
  <w15:docId w15:val="{DD546401-AAD0-4C32-B7C6-6967300B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Jaime Villota Martinez</cp:lastModifiedBy>
  <cp:revision>3</cp:revision>
  <dcterms:created xsi:type="dcterms:W3CDTF">2013-12-23T23:15:00Z</dcterms:created>
  <dcterms:modified xsi:type="dcterms:W3CDTF">2024-08-10T20:58:00Z</dcterms:modified>
  <cp:category/>
</cp:coreProperties>
</file>