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44"/>
        </w:rPr>
        <w:t>Propuesta técnica</w:t>
      </w:r>
    </w:p>
    <w:p>
      <w:r>
        <w:rPr>
          <w:color w:val="595959"/>
          <w:sz w:val="30"/>
        </w:rPr>
        <w:t>Replanteamiento de la capa de pendiente: magnitud y dirección</w:t>
      </w:r>
    </w:p>
    <w:p>
      <w:r>
        <w:rPr>
          <w:b w:val="0"/>
        </w:rPr>
        <w:t>Reto 6 (Enagás) · Generación automatizada de trazados de ramales de H₂</w:t>
      </w:r>
    </w:p>
    <w:p>
      <w:r>
        <w:rPr>
          <w:color w:val="595959"/>
          <w:sz w:val="20"/>
        </w:rPr>
        <w:t>Grupo 6 — CI2 Lab 2026 · Cátedra de Industria Inteligente (ETSI ICAI, Comillas)</w:t>
      </w:r>
    </w:p>
    <w:tbl>
      <w:tblPr>
        <w:tblStyle w:val="TableGrid"/>
        <w:tblW w:type="auto" w:w="0"/>
        <w:jc w:val="center"/>
        <w:tblLook w:firstColumn="1" w:firstRow="1" w:lastColumn="0" w:lastRow="0" w:noHBand="0" w:noVBand="1" w:val="04A0"/>
      </w:tblPr>
      <w:tblGrid>
        <w:gridCol w:w="4320"/>
        <w:gridCol w:w="4320"/>
      </w:tblGrid>
      <w:tr>
        <w:tc>
          <w:tcPr>
            <w:tcW w:type="dxa" w:w="2304"/>
            <w:shd w:val="clear" w:fill="DCE6F1"/>
          </w:tcPr>
          <w:p>
            <w:r>
              <w:rPr>
                <w:b/>
                <w:sz w:val="20"/>
              </w:rPr>
              <w:t>Campo</w:t>
            </w:r>
          </w:p>
        </w:tc>
        <w:tc>
          <w:tcPr>
            <w:tcW w:type="dxa" w:w="6624"/>
            <w:shd w:val="clear" w:fill="DCE6F1"/>
          </w:tcPr>
          <w:p>
            <w:r>
              <w:rPr>
                <w:b/>
                <w:sz w:val="20"/>
              </w:rPr>
              <w:t>Detalle</w:t>
            </w:r>
          </w:p>
        </w:tc>
      </w:tr>
      <w:tr>
        <w:tc>
          <w:tcPr>
            <w:tcW w:type="dxa" w:w="2304"/>
          </w:tcPr>
          <w:p>
            <w:r>
              <w:rPr>
                <w:b w:val="0"/>
                <w:sz w:val="20"/>
              </w:rPr>
              <w:t>Documento</w:t>
            </w:r>
          </w:p>
        </w:tc>
        <w:tc>
          <w:tcPr>
            <w:tcW w:type="dxa" w:w="6624"/>
          </w:tcPr>
          <w:p>
            <w:r>
              <w:rPr>
                <w:b w:val="0"/>
                <w:sz w:val="20"/>
              </w:rPr>
              <w:t>Propuesta de cambio del modelo de coste de pendiente</w:t>
            </w:r>
          </w:p>
        </w:tc>
      </w:tr>
      <w:tr>
        <w:tc>
          <w:tcPr>
            <w:tcW w:type="dxa" w:w="2304"/>
          </w:tcPr>
          <w:p>
            <w:r>
              <w:rPr>
                <w:b w:val="0"/>
                <w:sz w:val="20"/>
              </w:rPr>
              <w:t>Versión</w:t>
            </w:r>
          </w:p>
        </w:tc>
        <w:tc>
          <w:tcPr>
            <w:tcW w:type="dxa" w:w="6624"/>
          </w:tcPr>
          <w:p>
            <w:r>
              <w:rPr>
                <w:b w:val="0"/>
                <w:sz w:val="20"/>
              </w:rPr>
              <w:t>1.0</w:t>
            </w:r>
          </w:p>
        </w:tc>
      </w:tr>
      <w:tr>
        <w:tc>
          <w:tcPr>
            <w:tcW w:type="dxa" w:w="2304"/>
          </w:tcPr>
          <w:p>
            <w:r>
              <w:rPr>
                <w:b w:val="0"/>
                <w:sz w:val="20"/>
              </w:rPr>
              <w:t>Fecha</w:t>
            </w:r>
          </w:p>
        </w:tc>
        <w:tc>
          <w:tcPr>
            <w:tcW w:type="dxa" w:w="6624"/>
          </w:tcPr>
          <w:p>
            <w:r>
              <w:rPr>
                <w:b w:val="0"/>
                <w:sz w:val="20"/>
              </w:rPr>
              <w:t>23 de junio de 2026</w:t>
            </w:r>
          </w:p>
        </w:tc>
      </w:tr>
      <w:tr>
        <w:tc>
          <w:tcPr>
            <w:tcW w:type="dxa" w:w="2304"/>
          </w:tcPr>
          <w:p>
            <w:r>
              <w:rPr>
                <w:b w:val="0"/>
                <w:sz w:val="20"/>
              </w:rPr>
              <w:t>Origen</w:t>
            </w:r>
          </w:p>
        </w:tc>
        <w:tc>
          <w:tcPr>
            <w:tcW w:type="dxa" w:w="6624"/>
          </w:tcPr>
          <w:p>
            <w:r>
              <w:rPr>
                <w:b w:val="0"/>
                <w:sz w:val="20"/>
              </w:rPr>
              <w:t>Reunión con Enagás del 22 de junio de 2026</w:t>
            </w:r>
          </w:p>
        </w:tc>
      </w:tr>
      <w:tr>
        <w:tc>
          <w:tcPr>
            <w:tcW w:type="dxa" w:w="2304"/>
          </w:tcPr>
          <w:p>
            <w:r>
              <w:rPr>
                <w:b w:val="0"/>
                <w:sz w:val="20"/>
              </w:rPr>
              <w:t>Destinatario</w:t>
            </w:r>
          </w:p>
        </w:tc>
        <w:tc>
          <w:tcPr>
            <w:tcW w:type="dxa" w:w="6624"/>
          </w:tcPr>
          <w:p>
            <w:r>
              <w:rPr>
                <w:b w:val="0"/>
                <w:sz w:val="20"/>
              </w:rPr>
              <w:t>Enagás — Susana de Pablo, Pedro del Castillo</w:t>
            </w:r>
          </w:p>
        </w:tc>
      </w:tr>
      <w:tr>
        <w:tc>
          <w:tcPr>
            <w:tcW w:type="dxa" w:w="2304"/>
          </w:tcPr>
          <w:p>
            <w:r>
              <w:rPr>
                <w:b w:val="0"/>
                <w:sz w:val="20"/>
              </w:rPr>
              <w:t>Estado</w:t>
            </w:r>
          </w:p>
        </w:tc>
        <w:tc>
          <w:tcPr>
            <w:tcW w:type="dxa" w:w="6624"/>
          </w:tcPr>
          <w:p>
            <w:r>
              <w:rPr>
                <w:b w:val="0"/>
                <w:sz w:val="20"/>
              </w:rPr>
              <w:t>Para revisión en próxima reunión</w:t>
            </w:r>
          </w:p>
        </w:tc>
      </w:tr>
    </w:tbl>
    <w:p>
      <w:pPr>
        <w:spacing w:after="40"/>
      </w:pPr>
    </w:p>
    <w:p>
      <w:pPr>
        <w:pStyle w:val="Heading1"/>
      </w:pPr>
      <w:r>
        <w:rPr>
          <w:color w:val="1F3864"/>
        </w:rPr>
        <w:t>1. Resumen ejecutivo</w:t>
      </w:r>
    </w:p>
    <w:p>
      <w:pPr>
        <w:spacing w:after="160"/>
      </w:pPr>
      <w:r>
        <w:rPr>
          <w:b w:val="0"/>
          <w:sz w:val="22"/>
        </w:rPr>
        <w:t xml:space="preserve">En la reunión del 22 de junio, Enagás solicitó replantear el tratamiento de la pendiente en el generador de trazados. La indicación central fue que </w:t>
      </w:r>
      <w:r>
        <w:rPr>
          <w:b/>
          <w:sz w:val="22"/>
        </w:rPr>
        <w:t>el menor coste no es necesariamente el de menor pendiente</w:t>
      </w:r>
      <w:r>
        <w:rPr>
          <w:b w:val="0"/>
          <w:sz w:val="22"/>
        </w:rPr>
        <w:t xml:space="preserve">: una tubería debe afrontar las laderas </w:t>
      </w:r>
      <w:r>
        <w:rPr>
          <w:b/>
          <w:sz w:val="22"/>
        </w:rPr>
        <w:t>de frente</w:t>
      </w:r>
      <w:r>
        <w:rPr>
          <w:b w:val="0"/>
          <w:sz w:val="22"/>
        </w:rPr>
        <w:t xml:space="preserve"> (siguiendo la línea de máxima pendiente, perpendicular a las curvas de nivel) y </w:t>
      </w:r>
      <w:r>
        <w:rPr>
          <w:b/>
          <w:sz w:val="22"/>
        </w:rPr>
        <w:t>nunca en transversal</w:t>
      </w:r>
      <w:r>
        <w:rPr>
          <w:b w:val="0"/>
          <w:sz w:val="22"/>
        </w:rPr>
        <w:t>, porque un trazado transversal a la ladera queda expuesto a la cizalla en caso de deslizamiento del terreno.</w:t>
      </w:r>
    </w:p>
    <w:p>
      <w:pPr>
        <w:spacing w:after="160"/>
      </w:pPr>
      <w:r>
        <w:rPr>
          <w:b w:val="0"/>
          <w:sz w:val="22"/>
        </w:rPr>
        <w:t xml:space="preserve">Esta propuesta recoge ese requisito mediante </w:t>
      </w:r>
      <w:r>
        <w:rPr>
          <w:b/>
          <w:sz w:val="22"/>
        </w:rPr>
        <w:t>dos cambios</w:t>
      </w:r>
      <w:r>
        <w:rPr>
          <w:b w:val="0"/>
          <w:sz w:val="22"/>
        </w:rPr>
        <w:t>:</w:t>
      </w:r>
    </w:p>
    <w:p>
      <w:pPr>
        <w:spacing w:after="80"/>
      </w:pPr>
      <w:r>
        <w:rPr>
          <w:b w:val="0"/>
          <w:sz w:val="22"/>
        </w:rPr>
        <w:t xml:space="preserve">1. </w:t>
      </w:r>
      <w:r>
        <w:rPr>
          <w:b/>
          <w:sz w:val="22"/>
        </w:rPr>
        <w:t>Desdoblar la pendiente en dos capas</w:t>
      </w:r>
      <w:r>
        <w:rPr>
          <w:b w:val="0"/>
          <w:sz w:val="22"/>
        </w:rPr>
        <w:t xml:space="preserve">: la de </w:t>
      </w:r>
      <w:r>
        <w:rPr>
          <w:b/>
          <w:sz w:val="22"/>
        </w:rPr>
        <w:t>magnitud</w:t>
      </w:r>
      <w:r>
        <w:rPr>
          <w:b w:val="0"/>
          <w:sz w:val="22"/>
        </w:rPr>
        <w:t xml:space="preserve"> (la existente, que mide cuán inclinado está el terreno) y una nueva capa de </w:t>
      </w:r>
      <w:r>
        <w:rPr>
          <w:b/>
          <w:sz w:val="22"/>
        </w:rPr>
        <w:t>dirección</w:t>
      </w:r>
      <w:r>
        <w:rPr>
          <w:b w:val="0"/>
          <w:sz w:val="22"/>
        </w:rPr>
        <w:t xml:space="preserve"> (la línea de máxima pendiente de cada ladera).</w:t>
      </w:r>
    </w:p>
    <w:p>
      <w:pPr>
        <w:spacing w:after="160"/>
      </w:pPr>
      <w:r>
        <w:rPr>
          <w:b w:val="0"/>
          <w:sz w:val="22"/>
        </w:rPr>
        <w:t xml:space="preserve">2. </w:t>
      </w:r>
      <w:r>
        <w:rPr>
          <w:b/>
          <w:sz w:val="22"/>
        </w:rPr>
        <w:t>Incorporar la dirección al cálculo de la ruta</w:t>
      </w:r>
      <w:r>
        <w:rPr>
          <w:b w:val="0"/>
          <w:sz w:val="22"/>
        </w:rPr>
        <w:t xml:space="preserve"> mediante un coste </w:t>
      </w:r>
      <w:r>
        <w:rPr>
          <w:b/>
          <w:sz w:val="22"/>
        </w:rPr>
        <w:t>anisótropo</w:t>
      </w:r>
      <w:r>
        <w:rPr>
          <w:b w:val="0"/>
          <w:sz w:val="22"/>
        </w:rPr>
        <w:t>: el coste de avanzar deja de depender solo de dónde se está y pasa a depender también de en qué dirección se cruza la pendiente.</w:t>
      </w:r>
    </w:p>
    <w:p>
      <w:pPr>
        <w:spacing w:after="160"/>
      </w:pPr>
      <w:r>
        <w:rPr>
          <w:b w:val="0"/>
          <w:sz w:val="22"/>
        </w:rPr>
        <w:t xml:space="preserve">El resultado reduce de forma medible el recorrido transversal en pendiente (entre un </w:t>
      </w:r>
      <w:r>
        <w:rPr>
          <w:b/>
          <w:sz w:val="22"/>
        </w:rPr>
        <w:t>38 % y un 47 %</w:t>
      </w:r>
      <w:r>
        <w:rPr>
          <w:b w:val="0"/>
          <w:sz w:val="22"/>
        </w:rPr>
        <w:t xml:space="preserve"> en los corredores de prueba A y B) y, de manera deliberada, </w:t>
      </w:r>
      <w:r>
        <w:rPr>
          <w:b/>
          <w:sz w:val="22"/>
        </w:rPr>
        <w:t>atraviesa de frente las zonas de mayor pendiente en lugar de rodearlas</w:t>
      </w:r>
      <w:r>
        <w:rPr>
          <w:b w:val="0"/>
          <w:sz w:val="22"/>
        </w:rPr>
        <w:t xml:space="preserve"> cuando rodear implicaría un trazado transversal. La sección 6 lo justifica con un caso real.</w:t>
      </w:r>
    </w:p>
    <w:p>
      <w:pPr>
        <w:spacing w:after="160"/>
      </w:pPr>
      <w:r>
        <w:rPr>
          <w:b w:val="0"/>
          <w:i/>
          <w:color w:val="595959"/>
          <w:sz w:val="22"/>
        </w:rPr>
        <w:t xml:space="preserve">Como en todo el proyecto, los costes son </w:t>
      </w:r>
      <w:r>
        <w:rPr>
          <w:b/>
          <w:i/>
          <w:color w:val="595959"/>
          <w:sz w:val="22"/>
        </w:rPr>
        <w:t>índices relativos adimensionales</w:t>
      </w:r>
      <w:r>
        <w:rPr>
          <w:b w:val="0"/>
          <w:i/>
          <w:color w:val="595959"/>
          <w:sz w:val="22"/>
        </w:rPr>
        <w:t>, no valores económicos en euros. El objetivo es comparar y seleccionar trazados.</w:t>
      </w:r>
    </w:p>
    <w:p>
      <w:pPr>
        <w:pStyle w:val="Heading1"/>
      </w:pPr>
      <w:r>
        <w:rPr>
          <w:color w:val="1F3864"/>
        </w:rPr>
        <w:t>2. Antecedentes: indicaciones de la reunión</w:t>
      </w:r>
    </w:p>
    <w:p>
      <w:pPr>
        <w:spacing w:after="160"/>
      </w:pPr>
      <w:r>
        <w:rPr>
          <w:b w:val="0"/>
          <w:sz w:val="22"/>
        </w:rPr>
        <w:t>Se recogen las indicaciones de Enagás y su traducción a requisitos técnicos:</w:t>
      </w:r>
    </w:p>
    <w:tbl>
      <w:tblPr>
        <w:tblStyle w:val="TableGrid"/>
        <w:tblW w:type="auto" w:w="0"/>
        <w:jc w:val="center"/>
        <w:tblLook w:firstColumn="1" w:firstRow="1" w:lastColumn="0" w:lastRow="0" w:noHBand="0" w:noVBand="1" w:val="04A0"/>
      </w:tblPr>
      <w:tblGrid>
        <w:gridCol w:w="4320"/>
        <w:gridCol w:w="4320"/>
      </w:tblGrid>
      <w:tr>
        <w:tc>
          <w:tcPr>
            <w:tcW w:type="dxa" w:w="4464"/>
            <w:shd w:val="clear" w:fill="DCE6F1"/>
          </w:tcPr>
          <w:p>
            <w:r>
              <w:rPr>
                <w:b/>
                <w:sz w:val="20"/>
              </w:rPr>
              <w:t>Indicación de Enagás</w:t>
            </w:r>
          </w:p>
        </w:tc>
        <w:tc>
          <w:tcPr>
            <w:tcW w:type="dxa" w:w="4464"/>
            <w:shd w:val="clear" w:fill="DCE6F1"/>
          </w:tcPr>
          <w:p>
            <w:r>
              <w:rPr>
                <w:b/>
                <w:sz w:val="20"/>
              </w:rPr>
              <w:t>Requisito técnico derivado</w:t>
            </w:r>
          </w:p>
        </w:tc>
      </w:tr>
      <w:tr>
        <w:tc>
          <w:tcPr>
            <w:tcW w:type="dxa" w:w="4464"/>
          </w:tcPr>
          <w:p>
            <w:r>
              <w:rPr>
                <w:b w:val="0"/>
                <w:sz w:val="20"/>
              </w:rPr>
              <w:t>El menor coste no es el de menor pendiente.</w:t>
            </w:r>
          </w:p>
        </w:tc>
        <w:tc>
          <w:tcPr>
            <w:tcW w:type="dxa" w:w="4464"/>
          </w:tcPr>
          <w:p>
            <w:r>
              <w:rPr>
                <w:b w:val="0"/>
                <w:sz w:val="20"/>
              </w:rPr>
              <w:t>El coste no puede limitarse a evitar la pendiente.</w:t>
            </w:r>
          </w:p>
        </w:tc>
      </w:tr>
      <w:tr>
        <w:tc>
          <w:tcPr>
            <w:tcW w:type="dxa" w:w="4464"/>
          </w:tcPr>
          <w:p>
            <w:r>
              <w:rPr>
                <w:b w:val="0"/>
                <w:sz w:val="20"/>
              </w:rPr>
              <w:t>Dos capas: pendiente (actual) y gradiente (dirección).</w:t>
            </w:r>
          </w:p>
        </w:tc>
        <w:tc>
          <w:tcPr>
            <w:tcW w:type="dxa" w:w="4464"/>
          </w:tcPr>
          <w:p>
            <w:r>
              <w:rPr>
                <w:b w:val="0"/>
                <w:sz w:val="20"/>
              </w:rPr>
              <w:t>Añadir una capa vectorial de dirección además de la escalar de magnitud.</w:t>
            </w:r>
          </w:p>
        </w:tc>
      </w:tr>
      <w:tr>
        <w:tc>
          <w:tcPr>
            <w:tcW w:type="dxa" w:w="4464"/>
          </w:tcPr>
          <w:p>
            <w:r>
              <w:rPr>
                <w:b w:val="0"/>
                <w:sz w:val="20"/>
              </w:rPr>
              <w:t>Buscar la línea de máxima pendiente; el trazado debe seguirla.</w:t>
            </w:r>
          </w:p>
        </w:tc>
        <w:tc>
          <w:tcPr>
            <w:tcW w:type="dxa" w:w="4464"/>
          </w:tcPr>
          <w:p>
            <w:r>
              <w:rPr>
                <w:b w:val="0"/>
                <w:sz w:val="20"/>
              </w:rPr>
              <w:t>Modelar la dirección del gradiente del terreno.</w:t>
            </w:r>
          </w:p>
        </w:tc>
      </w:tr>
      <w:tr>
        <w:tc>
          <w:tcPr>
            <w:tcW w:type="dxa" w:w="4464"/>
          </w:tcPr>
          <w:p>
            <w:r>
              <w:rPr>
                <w:b w:val="0"/>
                <w:sz w:val="20"/>
              </w:rPr>
              <w:t>Que la tubería atraviese perpendicular, no transversal.</w:t>
            </w:r>
          </w:p>
        </w:tc>
        <w:tc>
          <w:tcPr>
            <w:tcW w:type="dxa" w:w="4464"/>
          </w:tcPr>
          <w:p>
            <w:r>
              <w:rPr>
                <w:b w:val="0"/>
                <w:sz w:val="20"/>
              </w:rPr>
              <w:t>Penalizar el avance transversal a la ladera.</w:t>
            </w:r>
          </w:p>
        </w:tc>
      </w:tr>
      <w:tr>
        <w:tc>
          <w:tcPr>
            <w:tcW w:type="dxa" w:w="4464"/>
          </w:tcPr>
          <w:p>
            <w:r>
              <w:rPr>
                <w:b w:val="0"/>
                <w:sz w:val="20"/>
              </w:rPr>
              <w:t>Que sea menos granular.</w:t>
            </w:r>
          </w:p>
        </w:tc>
        <w:tc>
          <w:tcPr>
            <w:tcW w:type="dxa" w:w="4464"/>
          </w:tcPr>
          <w:p>
            <w:r>
              <w:rPr>
                <w:b w:val="0"/>
                <w:sz w:val="20"/>
              </w:rPr>
              <w:t>Calcular la dirección a escala de ladera, no de píxel.</w:t>
            </w:r>
          </w:p>
        </w:tc>
      </w:tr>
      <w:tr>
        <w:tc>
          <w:tcPr>
            <w:tcW w:type="dxa" w:w="4464"/>
          </w:tcPr>
          <w:p>
            <w:r>
              <w:rPr>
                <w:b w:val="0"/>
                <w:sz w:val="20"/>
              </w:rPr>
              <w:t>La pendiente del terreno no es la del tubo.</w:t>
            </w:r>
          </w:p>
        </w:tc>
        <w:tc>
          <w:tcPr>
            <w:tcW w:type="dxa" w:w="4464"/>
          </w:tcPr>
          <w:p>
            <w:r>
              <w:rPr>
                <w:b w:val="0"/>
                <w:sz w:val="20"/>
              </w:rPr>
              <w:t>La pendiente es una entrada del modelo, no la geometría del tubo.</w:t>
            </w:r>
          </w:p>
        </w:tc>
      </w:tr>
    </w:tbl>
    <w:p>
      <w:pPr>
        <w:spacing w:after="40"/>
      </w:pPr>
    </w:p>
    <w:p>
      <w:pPr>
        <w:spacing w:after="160"/>
      </w:pPr>
      <w:r>
        <w:rPr>
          <w:b w:val="0"/>
          <w:i/>
          <w:color w:val="595959"/>
          <w:sz w:val="22"/>
        </w:rPr>
        <w:t>Nota sobre las dos primeras peticiones, en apariencia contradictorias («seguir la máxima pendiente» y «cruzar perpendicular»): son la misma instrucción. La línea de máxima pendiente es, por definición, perpendicular a las curvas de nivel. El tubo debe cruzar la ladera de frente (cuesta arriba/abajo), nunca en diagonal.</w:t>
      </w:r>
    </w:p>
    <w:p>
      <w:pPr>
        <w:pStyle w:val="Heading1"/>
      </w:pPr>
      <w:r>
        <w:rPr>
          <w:color w:val="1F3864"/>
        </w:rPr>
        <w:t>3. Enfoque propuesto: dos capas, dos escalas</w:t>
      </w:r>
    </w:p>
    <w:p>
      <w:pPr>
        <w:spacing w:after="160"/>
      </w:pPr>
      <w:r>
        <w:rPr>
          <w:b w:val="0"/>
          <w:sz w:val="22"/>
        </w:rPr>
        <w:t>La pendiente pasa a representarse con dos capas obtenidas de la misma fuente (el Modelo Digital de Elevaciones, Copernicus GLO-30, alineado a EPSG:25830 y 30 m):</w:t>
      </w:r>
    </w:p>
    <w:p>
      <w:pPr>
        <w:spacing w:after="160"/>
      </w:pPr>
      <w:r>
        <w:rPr>
          <w:b/>
          <w:sz w:val="22"/>
        </w:rPr>
        <w:t>Capa A — Magnitud (escalar).</w:t>
      </w:r>
      <w:r>
        <w:rPr>
          <w:b w:val="0"/>
          <w:sz w:val="22"/>
        </w:rPr>
        <w:t xml:space="preserve"> La existente. Mide la inclinación y la convierte en un coste por tramos (0–5° trivial, 5–15° y 15–30° en rampa, &gt;30° barrera). Se mantiene a </w:t>
      </w:r>
      <w:r>
        <w:rPr>
          <w:b/>
          <w:sz w:val="22"/>
        </w:rPr>
        <w:t>resolución fina (30 m)</w:t>
      </w:r>
      <w:r>
        <w:rPr>
          <w:b w:val="0"/>
          <w:sz w:val="22"/>
        </w:rPr>
        <w:t xml:space="preserve"> para no falsear barreras ni la métrica de pendiente máxima.</w:t>
      </w:r>
    </w:p>
    <w:p>
      <w:pPr>
        <w:spacing w:after="160"/>
      </w:pPr>
      <w:r>
        <w:rPr>
          <w:b/>
          <w:sz w:val="22"/>
        </w:rPr>
        <w:t>Capa B — Dirección (vectorial).</w:t>
      </w:r>
      <w:r>
        <w:rPr>
          <w:b w:val="0"/>
          <w:sz w:val="22"/>
        </w:rPr>
        <w:t xml:space="preserve"> Nueva. Es la </w:t>
      </w:r>
      <w:r>
        <w:rPr>
          <w:b/>
          <w:sz w:val="22"/>
        </w:rPr>
        <w:t>línea de máxima pendiente</w:t>
      </w:r>
      <w:r>
        <w:rPr>
          <w:b w:val="0"/>
          <w:sz w:val="22"/>
        </w:rPr>
        <w:t xml:space="preserve"> de cada ladera (el gradiente del terreno). Indica hacia dónde «cae» la ladera, que es la dirección por la que debe discurrir la tubería.</w:t>
      </w:r>
    </w:p>
    <w:p>
      <w:pPr>
        <w:spacing w:after="160"/>
      </w:pPr>
      <w:r>
        <w:rPr>
          <w:b w:val="0"/>
          <w:sz w:val="22"/>
        </w:rPr>
        <w:t xml:space="preserve">Ambas capas son complementarias: la de magnitud decide </w:t>
      </w:r>
      <w:r>
        <w:rPr>
          <w:b/>
          <w:sz w:val="22"/>
        </w:rPr>
        <w:t>dónde</w:t>
      </w:r>
      <w:r>
        <w:rPr>
          <w:b w:val="0"/>
          <w:sz w:val="22"/>
        </w:rPr>
        <w:t xml:space="preserve"> hay pendiente; la de dirección decide </w:t>
      </w:r>
      <w:r>
        <w:rPr>
          <w:b/>
          <w:sz w:val="22"/>
        </w:rPr>
        <w:t>cómo</w:t>
      </w:r>
      <w:r>
        <w:rPr>
          <w:b w:val="0"/>
          <w:sz w:val="22"/>
        </w:rPr>
        <w:t xml:space="preserve"> se cruza la pendiente inevitable.</w:t>
      </w:r>
    </w:p>
    <w:p>
      <w:pPr>
        <w:pStyle w:val="Heading1"/>
      </w:pPr>
      <w:r>
        <w:rPr>
          <w:color w:val="1F3864"/>
        </w:rPr>
        <w:t>4. «Menos granular»: la dirección se calcula a escala de ladera</w:t>
      </w:r>
    </w:p>
    <w:p>
      <w:pPr>
        <w:spacing w:after="160"/>
      </w:pPr>
      <w:r>
        <w:rPr>
          <w:b w:val="0"/>
          <w:sz w:val="22"/>
        </w:rPr>
        <w:t xml:space="preserve">La dirección es una derivada del terreno, y las derivadas </w:t>
      </w:r>
      <w:r>
        <w:rPr>
          <w:b/>
          <w:sz w:val="22"/>
        </w:rPr>
        <w:t>amplifican el ruido</w:t>
      </w:r>
      <w:r>
        <w:rPr>
          <w:b w:val="0"/>
          <w:sz w:val="22"/>
        </w:rPr>
        <w:t>. A 30 m, la línea de máxima pendiente «tiembla» de un píxel a otro con cada irregularidad menor del terreno, y la instrucción «cruzar perpendicular a la ladera» pierde sentido.</w:t>
      </w:r>
    </w:p>
    <w:p>
      <w:pPr>
        <w:spacing w:after="160"/>
      </w:pPr>
      <w:r>
        <w:rPr>
          <w:b w:val="0"/>
          <w:sz w:val="22"/>
        </w:rPr>
        <w:t xml:space="preserve">Por ello, la capa de dirección se calcula sobre una </w:t>
      </w:r>
      <w:r>
        <w:rPr>
          <w:b/>
          <w:sz w:val="22"/>
        </w:rPr>
        <w:t>copia suavizada</w:t>
      </w:r>
      <w:r>
        <w:rPr>
          <w:b w:val="0"/>
          <w:sz w:val="22"/>
        </w:rPr>
        <w:t xml:space="preserve"> del MDE (filtro Gaussiano, escala característica </w:t>
      </w:r>
      <w:r>
        <w:rPr>
          <w:b/>
          <w:sz w:val="22"/>
        </w:rPr>
        <w:t>σ = 150 m</w:t>
      </w:r>
      <w:r>
        <w:rPr>
          <w:b w:val="0"/>
          <w:sz w:val="22"/>
        </w:rPr>
        <w:t xml:space="preserve">). El MDE original </w:t>
      </w:r>
      <w:r>
        <w:rPr>
          <w:b/>
          <w:sz w:val="22"/>
        </w:rPr>
        <w:t>no se modifica</w:t>
      </w:r>
      <w:r>
        <w:rPr>
          <w:b w:val="0"/>
          <w:sz w:val="22"/>
        </w:rPr>
        <w:t>; el suavizado solo sirve para extraer una dirección estable, a la escala a la que una tubería realmente «ve» el relieve (la ladera de cientos de metros, no el montículo de 30 m).</w:t>
      </w:r>
    </w:p>
    <w:p>
      <w:pPr>
        <w:spacing w:after="160"/>
      </w:pPr>
      <w:r>
        <w:rPr>
          <w:b w:val="0"/>
          <w:sz w:val="22"/>
        </w:rPr>
        <w:t xml:space="preserve">Es importante subrayar que </w:t>
      </w:r>
      <w:r>
        <w:rPr>
          <w:b/>
          <w:sz w:val="22"/>
        </w:rPr>
        <w:t>no se pierde resolución ni información</w:t>
      </w:r>
      <w:r>
        <w:rPr>
          <w:b w:val="0"/>
          <w:sz w:val="22"/>
        </w:rPr>
        <w:t>: la rejilla sigue siendo de 30 m y todo el detalle fino se conserva en la capa de magnitud. Solo se descarta, de forma intencionada, el micro-relieve a la hora de definir la dirección.</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val="clear" w:fill="DCE6F1"/>
          </w:tcPr>
          <w:p>
            <w:r>
              <w:rPr>
                <w:b/>
                <w:sz w:val="20"/>
              </w:rPr>
            </w:r>
          </w:p>
        </w:tc>
        <w:tc>
          <w:tcPr>
            <w:tcW w:type="dxa" w:w="3456"/>
            <w:shd w:val="clear" w:fill="DCE6F1"/>
          </w:tcPr>
          <w:p>
            <w:r>
              <w:rPr>
                <w:b/>
                <w:sz w:val="20"/>
              </w:rPr>
              <w:t>Capa de magnitud</w:t>
            </w:r>
          </w:p>
        </w:tc>
        <w:tc>
          <w:tcPr>
            <w:tcW w:type="dxa" w:w="3456"/>
            <w:shd w:val="clear" w:fill="DCE6F1"/>
          </w:tcPr>
          <w:p>
            <w:r>
              <w:rPr>
                <w:b/>
                <w:sz w:val="20"/>
              </w:rPr>
              <w:t>Capa de dirección</w:t>
            </w:r>
          </w:p>
        </w:tc>
      </w:tr>
      <w:tr>
        <w:tc>
          <w:tcPr>
            <w:tcW w:type="dxa" w:w="2016"/>
          </w:tcPr>
          <w:p>
            <w:r>
              <w:rPr>
                <w:b w:val="0"/>
                <w:sz w:val="20"/>
              </w:rPr>
              <w:t>Escala</w:t>
            </w:r>
          </w:p>
        </w:tc>
        <w:tc>
          <w:tcPr>
            <w:tcW w:type="dxa" w:w="3456"/>
          </w:tcPr>
          <w:p>
            <w:r>
              <w:rPr>
                <w:b w:val="0"/>
                <w:sz w:val="20"/>
              </w:rPr>
              <w:t>30 m (fina)</w:t>
            </w:r>
          </w:p>
        </w:tc>
        <w:tc>
          <w:tcPr>
            <w:tcW w:type="dxa" w:w="3456"/>
          </w:tcPr>
          <w:p>
            <w:r>
              <w:rPr>
                <w:b w:val="0"/>
                <w:sz w:val="20"/>
              </w:rPr>
              <w:t>≈ 150 m (suave)</w:t>
            </w:r>
          </w:p>
        </w:tc>
      </w:tr>
      <w:tr>
        <w:tc>
          <w:tcPr>
            <w:tcW w:type="dxa" w:w="2016"/>
          </w:tcPr>
          <w:p>
            <w:r>
              <w:rPr>
                <w:b w:val="0"/>
                <w:sz w:val="20"/>
              </w:rPr>
              <w:t>Detalle fino</w:t>
            </w:r>
          </w:p>
        </w:tc>
        <w:tc>
          <w:tcPr>
            <w:tcW w:type="dxa" w:w="3456"/>
          </w:tcPr>
          <w:p>
            <w:r>
              <w:rPr>
                <w:b w:val="0"/>
                <w:sz w:val="20"/>
              </w:rPr>
              <w:t>Se conserva (barreras, métricas)</w:t>
            </w:r>
          </w:p>
        </w:tc>
        <w:tc>
          <w:tcPr>
            <w:tcW w:type="dxa" w:w="3456"/>
          </w:tcPr>
          <w:p>
            <w:r>
              <w:rPr>
                <w:b w:val="0"/>
                <w:sz w:val="20"/>
              </w:rPr>
              <w:t>Se descarta a propósito (estabilidad)</w:t>
            </w:r>
          </w:p>
        </w:tc>
      </w:tr>
    </w:tbl>
    <w:p>
      <w:pPr>
        <w:spacing w:after="40"/>
      </w:pPr>
    </w:p>
    <w:p>
      <w:pPr>
        <w:pStyle w:val="Heading1"/>
      </w:pPr>
      <w:r>
        <w:rPr>
          <w:color w:val="1F3864"/>
        </w:rPr>
        <w:t>5. Modelo de coste de la ruta: coste anisótropo</w:t>
      </w:r>
    </w:p>
    <w:p>
      <w:pPr>
        <w:spacing w:after="160"/>
      </w:pPr>
      <w:r>
        <w:rPr>
          <w:b w:val="0"/>
          <w:sz w:val="22"/>
        </w:rPr>
        <w:t xml:space="preserve">El motor de cálculo (camino de mínimo coste) busca el trazado origen→destino que minimiza el coste </w:t>
      </w:r>
      <w:r>
        <w:rPr>
          <w:b/>
          <w:sz w:val="22"/>
        </w:rPr>
        <w:t>total</w:t>
      </w:r>
      <w:r>
        <w:rPr>
          <w:b w:val="0"/>
          <w:sz w:val="22"/>
        </w:rPr>
        <w:t xml:space="preserve"> acumulado. Con el nuevo enfoque, el coste de avanzar de una celda p a una celda vecina q es:</w:t>
      </w:r>
    </w:p>
    <w:p>
      <w:pPr>
        <w:spacing w:before="120" w:after="120"/>
        <w:jc w:val="center"/>
        <w:shd w:val="clear" w:fill="EAF1FB"/>
      </w:pPr>
      <w:r>
        <w:rPr>
          <w:rFonts w:ascii="Consolas" w:hAnsi="Consolas"/>
          <w:b/>
          <w:color w:val="1F3864"/>
          <w:sz w:val="26"/>
        </w:rPr>
        <w:t>coste(p → q) = d × C_celda × (1 + λ × S × sin(θ))</w:t>
      </w:r>
    </w:p>
    <w:tbl>
      <w:tblPr>
        <w:tblStyle w:val="TableGrid"/>
        <w:tblW w:type="auto" w:w="0"/>
        <w:jc w:val="center"/>
        <w:tblLook w:firstColumn="1" w:firstRow="1" w:lastColumn="0" w:lastRow="0" w:noHBand="0" w:noVBand="1" w:val="04A0"/>
      </w:tblPr>
      <w:tblGrid>
        <w:gridCol w:w="4320"/>
        <w:gridCol w:w="4320"/>
      </w:tblGrid>
      <w:tr>
        <w:tc>
          <w:tcPr>
            <w:tcW w:type="dxa" w:w="2016"/>
            <w:shd w:val="clear" w:fill="DCE6F1"/>
          </w:tcPr>
          <w:p>
            <w:r>
              <w:rPr>
                <w:b/>
                <w:sz w:val="20"/>
              </w:rPr>
              <w:t>Término</w:t>
            </w:r>
          </w:p>
        </w:tc>
        <w:tc>
          <w:tcPr>
            <w:tcW w:type="dxa" w:w="6912"/>
            <w:shd w:val="clear" w:fill="DCE6F1"/>
          </w:tcPr>
          <w:p>
            <w:r>
              <w:rPr>
                <w:b/>
                <w:sz w:val="20"/>
              </w:rPr>
              <w:t>Significado</w:t>
            </w:r>
          </w:p>
        </w:tc>
      </w:tr>
      <w:tr>
        <w:tc>
          <w:tcPr>
            <w:tcW w:type="dxa" w:w="2016"/>
          </w:tcPr>
          <w:p>
            <w:r>
              <w:rPr>
                <w:b w:val="0"/>
                <w:sz w:val="20"/>
              </w:rPr>
              <w:t>d</w:t>
            </w:r>
          </w:p>
        </w:tc>
        <w:tc>
          <w:tcPr>
            <w:tcW w:type="dxa" w:w="6912"/>
          </w:tcPr>
          <w:p>
            <w:r>
              <w:rPr>
                <w:b w:val="0"/>
                <w:sz w:val="20"/>
              </w:rPr>
              <w:t>Distancia del paso: 1 (recto) o 1,41 = √2 (diagonal).</w:t>
            </w:r>
          </w:p>
        </w:tc>
      </w:tr>
      <w:tr>
        <w:tc>
          <w:tcPr>
            <w:tcW w:type="dxa" w:w="2016"/>
          </w:tcPr>
          <w:p>
            <w:r>
              <w:rPr>
                <w:b w:val="0"/>
                <w:sz w:val="20"/>
              </w:rPr>
              <w:t>C_celda</w:t>
            </w:r>
          </w:p>
        </w:tc>
        <w:tc>
          <w:tcPr>
            <w:tcW w:type="dxa" w:w="6912"/>
          </w:tcPr>
          <w:p>
            <w:r>
              <w:rPr>
                <w:b w:val="0"/>
                <w:sz w:val="20"/>
              </w:rPr>
              <w:t>Coste escalar medio de las dos celdas (superficie multicriterio: pendiente, geotecnia, cruces, zona protegida, expropiación).</w:t>
            </w:r>
          </w:p>
        </w:tc>
      </w:tr>
      <w:tr>
        <w:tc>
          <w:tcPr>
            <w:tcW w:type="dxa" w:w="2016"/>
          </w:tcPr>
          <w:p>
            <w:r>
              <w:rPr>
                <w:b w:val="0"/>
                <w:sz w:val="20"/>
              </w:rPr>
              <w:t>λ (lambda)</w:t>
            </w:r>
          </w:p>
        </w:tc>
        <w:tc>
          <w:tcPr>
            <w:tcW w:type="dxa" w:w="6912"/>
          </w:tcPr>
          <w:p>
            <w:r>
              <w:rPr>
                <w:b w:val="0"/>
                <w:sz w:val="20"/>
              </w:rPr>
              <w:t>Peso de la penalización por transversalidad (parámetro de calibración).</w:t>
            </w:r>
          </w:p>
        </w:tc>
      </w:tr>
      <w:tr>
        <w:tc>
          <w:tcPr>
            <w:tcW w:type="dxa" w:w="2016"/>
          </w:tcPr>
          <w:p>
            <w:r>
              <w:rPr>
                <w:b w:val="0"/>
                <w:sz w:val="20"/>
              </w:rPr>
              <w:t>S</w:t>
            </w:r>
          </w:p>
        </w:tc>
        <w:tc>
          <w:tcPr>
            <w:tcW w:type="dxa" w:w="6912"/>
          </w:tcPr>
          <w:p>
            <w:r>
              <w:rPr>
                <w:b w:val="0"/>
                <w:sz w:val="20"/>
              </w:rPr>
              <w:t>Pendiente normalizada [0, 1] (capa de dirección, suavizada).</w:t>
            </w:r>
          </w:p>
        </w:tc>
      </w:tr>
      <w:tr>
        <w:tc>
          <w:tcPr>
            <w:tcW w:type="dxa" w:w="2016"/>
          </w:tcPr>
          <w:p>
            <w:r>
              <w:rPr>
                <w:b w:val="0"/>
                <w:sz w:val="20"/>
              </w:rPr>
              <w:t>sin(θ)</w:t>
            </w:r>
          </w:p>
        </w:tc>
        <w:tc>
          <w:tcPr>
            <w:tcW w:type="dxa" w:w="6912"/>
          </w:tcPr>
          <w:p>
            <w:r>
              <w:rPr>
                <w:b w:val="0"/>
                <w:sz w:val="20"/>
              </w:rPr>
              <w:t>Desviación del paso respecto a la línea de máxima pendiente: 0 = de frente, 1 = de costado.</w:t>
            </w:r>
          </w:p>
        </w:tc>
      </w:tr>
    </w:tbl>
    <w:p>
      <w:pPr>
        <w:spacing w:after="40"/>
      </w:pPr>
    </w:p>
    <w:p>
      <w:pPr>
        <w:spacing w:after="160"/>
      </w:pPr>
      <w:r>
        <w:rPr>
          <w:b w:val="0"/>
          <w:sz w:val="22"/>
        </w:rPr>
        <w:t xml:space="preserve">El factor </w:t>
      </w:r>
      <w:r>
        <w:rPr>
          <w:b/>
          <w:sz w:val="22"/>
        </w:rPr>
        <w:t>(1 + λ × S × sin θ)</w:t>
      </w:r>
      <w:r>
        <w:rPr>
          <w:b w:val="0"/>
          <w:sz w:val="22"/>
        </w:rPr>
        <w:t xml:space="preserve"> es la novedad. Su comportamiento: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448"/>
            <w:shd w:val="clear" w:fill="DCE6F1"/>
          </w:tcPr>
          <w:p>
            <w:r>
              <w:rPr>
                <w:b/>
                <w:sz w:val="20"/>
              </w:rPr>
              <w:t>Situación</w:t>
            </w:r>
          </w:p>
        </w:tc>
        <w:tc>
          <w:tcPr>
            <w:tcW w:type="dxa" w:w="720"/>
            <w:shd w:val="clear" w:fill="DCE6F1"/>
          </w:tcPr>
          <w:p>
            <w:r>
              <w:rPr>
                <w:b/>
                <w:sz w:val="20"/>
              </w:rPr>
              <w:t>S</w:t>
            </w:r>
          </w:p>
        </w:tc>
        <w:tc>
          <w:tcPr>
            <w:tcW w:type="dxa" w:w="720"/>
            <w:shd w:val="clear" w:fill="DCE6F1"/>
          </w:tcPr>
          <w:p>
            <w:r>
              <w:rPr>
                <w:b/>
                <w:sz w:val="20"/>
              </w:rPr>
              <w:t>sin θ</w:t>
            </w:r>
          </w:p>
        </w:tc>
        <w:tc>
          <w:tcPr>
            <w:tcW w:type="dxa" w:w="1008"/>
            <w:shd w:val="clear" w:fill="DCE6F1"/>
          </w:tcPr>
          <w:p>
            <w:r>
              <w:rPr>
                <w:b/>
                <w:sz w:val="20"/>
              </w:rPr>
              <w:t>Factor</w:t>
            </w:r>
          </w:p>
        </w:tc>
        <w:tc>
          <w:tcPr>
            <w:tcW w:type="dxa" w:w="4032"/>
            <w:shd w:val="clear" w:fill="DCE6F1"/>
          </w:tcPr>
          <w:p>
            <w:r>
              <w:rPr>
                <w:b/>
                <w:sz w:val="20"/>
              </w:rPr>
              <w:t>Efecto</w:t>
            </w:r>
          </w:p>
        </w:tc>
      </w:tr>
      <w:tr>
        <w:tc>
          <w:tcPr>
            <w:tcW w:type="dxa" w:w="2448"/>
          </w:tcPr>
          <w:p>
            <w:r>
              <w:rPr>
                <w:b w:val="0"/>
                <w:sz w:val="20"/>
              </w:rPr>
              <w:t>Terreno llano</w:t>
            </w:r>
          </w:p>
        </w:tc>
        <w:tc>
          <w:tcPr>
            <w:tcW w:type="dxa" w:w="720"/>
          </w:tcPr>
          <w:p>
            <w:r>
              <w:rPr>
                <w:b w:val="0"/>
                <w:sz w:val="20"/>
              </w:rPr>
              <w:t>≈ 0</w:t>
            </w:r>
          </w:p>
        </w:tc>
        <w:tc>
          <w:tcPr>
            <w:tcW w:type="dxa" w:w="720"/>
          </w:tcPr>
          <w:p>
            <w:r>
              <w:rPr>
                <w:b w:val="0"/>
                <w:sz w:val="20"/>
              </w:rPr>
              <w:t>—</w:t>
            </w:r>
          </w:p>
        </w:tc>
        <w:tc>
          <w:tcPr>
            <w:tcW w:type="dxa" w:w="1008"/>
          </w:tcPr>
          <w:p>
            <w:r>
              <w:rPr>
                <w:b w:val="0"/>
                <w:sz w:val="20"/>
              </w:rPr>
              <w:t>≈ 1</w:t>
            </w:r>
          </w:p>
        </w:tc>
        <w:tc>
          <w:tcPr>
            <w:tcW w:type="dxa" w:w="4032"/>
          </w:tcPr>
          <w:p>
            <w:r>
              <w:rPr>
                <w:b w:val="0"/>
                <w:sz w:val="20"/>
              </w:rPr>
              <w:t>Sin penalización: la dirección no importa en llano.</w:t>
            </w:r>
          </w:p>
        </w:tc>
      </w:tr>
      <w:tr>
        <w:tc>
          <w:tcPr>
            <w:tcW w:type="dxa" w:w="2448"/>
          </w:tcPr>
          <w:p>
            <w:r>
              <w:rPr>
                <w:b w:val="0"/>
                <w:sz w:val="20"/>
              </w:rPr>
              <w:t>Ladera, cruce de frente</w:t>
            </w:r>
          </w:p>
        </w:tc>
        <w:tc>
          <w:tcPr>
            <w:tcW w:type="dxa" w:w="720"/>
          </w:tcPr>
          <w:p>
            <w:r>
              <w:rPr>
                <w:b w:val="0"/>
                <w:sz w:val="20"/>
              </w:rPr>
              <w:t>alto</w:t>
            </w:r>
          </w:p>
        </w:tc>
        <w:tc>
          <w:tcPr>
            <w:tcW w:type="dxa" w:w="720"/>
          </w:tcPr>
          <w:p>
            <w:r>
              <w:rPr>
                <w:b w:val="0"/>
                <w:sz w:val="20"/>
              </w:rPr>
              <w:t>0</w:t>
            </w:r>
          </w:p>
        </w:tc>
        <w:tc>
          <w:tcPr>
            <w:tcW w:type="dxa" w:w="1008"/>
          </w:tcPr>
          <w:p>
            <w:r>
              <w:rPr>
                <w:b w:val="0"/>
                <w:sz w:val="20"/>
              </w:rPr>
              <w:t>1</w:t>
            </w:r>
          </w:p>
        </w:tc>
        <w:tc>
          <w:tcPr>
            <w:tcW w:type="dxa" w:w="4032"/>
          </w:tcPr>
          <w:p>
            <w:r>
              <w:rPr>
                <w:b w:val="0"/>
                <w:sz w:val="20"/>
              </w:rPr>
              <w:t>Sin penalización: es la forma correcta de cruzar.</w:t>
            </w:r>
          </w:p>
        </w:tc>
      </w:tr>
      <w:tr>
        <w:tc>
          <w:tcPr>
            <w:tcW w:type="dxa" w:w="2448"/>
          </w:tcPr>
          <w:p>
            <w:r>
              <w:rPr>
                <w:b w:val="0"/>
                <w:sz w:val="20"/>
              </w:rPr>
              <w:t>Ladera, cruce transversal</w:t>
            </w:r>
          </w:p>
        </w:tc>
        <w:tc>
          <w:tcPr>
            <w:tcW w:type="dxa" w:w="720"/>
          </w:tcPr>
          <w:p>
            <w:r>
              <w:rPr>
                <w:b w:val="0"/>
                <w:sz w:val="20"/>
              </w:rPr>
              <w:t>alto</w:t>
            </w:r>
          </w:p>
        </w:tc>
        <w:tc>
          <w:tcPr>
            <w:tcW w:type="dxa" w:w="720"/>
          </w:tcPr>
          <w:p>
            <w:r>
              <w:rPr>
                <w:b w:val="0"/>
                <w:sz w:val="20"/>
              </w:rPr>
              <w:t>1</w:t>
            </w:r>
          </w:p>
        </w:tc>
        <w:tc>
          <w:tcPr>
            <w:tcW w:type="dxa" w:w="1008"/>
          </w:tcPr>
          <w:p>
            <w:r>
              <w:rPr>
                <w:b w:val="0"/>
                <w:sz w:val="20"/>
              </w:rPr>
              <w:t>1 + λ</w:t>
            </w:r>
          </w:p>
        </w:tc>
        <w:tc>
          <w:tcPr>
            <w:tcW w:type="dxa" w:w="4032"/>
          </w:tcPr>
          <w:p>
            <w:r>
              <w:rPr>
                <w:b w:val="0"/>
                <w:sz w:val="20"/>
              </w:rPr>
              <w:t>Penalización máxima: se desincentiva el cruce de costado.</w:t>
            </w:r>
          </w:p>
        </w:tc>
      </w:tr>
    </w:tbl>
    <w:p>
      <w:pPr>
        <w:spacing w:after="40"/>
      </w:pPr>
    </w:p>
    <w:p>
      <w:pPr>
        <w:spacing w:after="160"/>
      </w:pPr>
      <w:r>
        <w:rPr>
          <w:b w:val="0"/>
          <w:sz w:val="22"/>
        </w:rPr>
        <w:t xml:space="preserve">Es decir, la penalización </w:t>
      </w:r>
      <w:r>
        <w:rPr>
          <w:b/>
          <w:sz w:val="22"/>
        </w:rPr>
        <w:t>solo aparece donde hay pendiente real y se cruza en transversal</w:t>
      </w:r>
      <w:r>
        <w:rPr>
          <w:b w:val="0"/>
          <w:sz w:val="22"/>
        </w:rPr>
        <w:t>. En terreno llano, o cruzando de frente, el modelo se comporta como el clásico.</w:t>
      </w:r>
    </w:p>
    <w:p>
      <w:pPr>
        <w:spacing w:after="80"/>
      </w:pPr>
      <w:r>
        <w:rPr>
          <w:b/>
          <w:sz w:val="22"/>
        </w:rPr>
        <w:t>Cálculo de sin(θ).</w:t>
      </w:r>
      <w:r>
        <w:rPr>
          <w:b w:val="0"/>
          <w:sz w:val="22"/>
        </w:rPr>
        <w:t xml:space="preserve"> Siendo û la dirección unitaria del paso y ĝ la dirección unitaria de la línea de máxima pendiente, ambas en coordenadas de mapa (Este, Norte):</w:t>
      </w:r>
    </w:p>
    <w:p>
      <w:pPr>
        <w:spacing w:before="120" w:after="120"/>
        <w:jc w:val="center"/>
        <w:shd w:val="clear" w:fill="EAF1FB"/>
      </w:pPr>
      <w:r>
        <w:rPr>
          <w:rFonts w:ascii="Consolas" w:hAnsi="Consolas"/>
          <w:b/>
          <w:color w:val="1F3864"/>
          <w:sz w:val="26"/>
        </w:rPr>
        <w:t>sin(θ) = | û_E · ĝ_N − û_N · ĝ_E |</w:t>
      </w:r>
    </w:p>
    <w:p>
      <w:pPr>
        <w:spacing w:after="160"/>
      </w:pPr>
      <w:r>
        <w:rPr>
          <w:b w:val="0"/>
          <w:sz w:val="22"/>
        </w:rPr>
        <w:t xml:space="preserve">Se emplea el </w:t>
      </w:r>
      <w:r>
        <w:rPr>
          <w:b/>
          <w:sz w:val="22"/>
        </w:rPr>
        <w:t>seno</w:t>
      </w:r>
      <w:r>
        <w:rPr>
          <w:b w:val="0"/>
          <w:sz w:val="22"/>
        </w:rPr>
        <w:t xml:space="preserve"> (componente perpendicular a la ladera) y en valor absoluto, de modo que subir o bajar por la línea de máxima pendiente cuenta igual (ambos sin θ = 0): solo importa cuánto se desvía el trazado de esa línea, no el sentido.</w:t>
      </w:r>
    </w:p>
    <w:p>
      <w:pPr>
        <w:pStyle w:val="Heading1"/>
      </w:pPr>
      <w:r>
        <w:rPr>
          <w:color w:val="1F3864"/>
        </w:rPr>
        <w:t>6. Por qué el trazado atraviesa las zonas de mayor pendiente</w:t>
      </w:r>
    </w:p>
    <w:p>
      <w:pPr>
        <w:spacing w:after="160"/>
      </w:pPr>
      <w:r>
        <w:rPr>
          <w:b w:val="0"/>
          <w:sz w:val="22"/>
        </w:rPr>
        <w:t xml:space="preserve">Es el punto que más conviene explicar, porque a primera vista resulta contraintuitivo: sobre el mapa de coste, el trazado a veces </w:t>
      </w:r>
      <w:r>
        <w:rPr>
          <w:b/>
          <w:sz w:val="22"/>
        </w:rPr>
        <w:t>atraviesa una zona «roja» (cara)</w:t>
      </w:r>
      <w:r>
        <w:rPr>
          <w:b w:val="0"/>
          <w:sz w:val="22"/>
        </w:rPr>
        <w:t xml:space="preserve"> pudiendo, aparentemente, rodearla por zona «verde» (barata).</w:t>
      </w:r>
    </w:p>
    <w:p>
      <w:pPr>
        <w:spacing w:after="160"/>
      </w:pPr>
      <w:r>
        <w:rPr>
          <w:b w:val="0"/>
          <w:sz w:val="22"/>
        </w:rPr>
        <w:t xml:space="preserve">La razón es que </w:t>
      </w:r>
      <w:r>
        <w:rPr>
          <w:b/>
          <w:sz w:val="22"/>
        </w:rPr>
        <w:t>el mapa de color muestra solo el coste escalar</w:t>
      </w:r>
      <w:r>
        <w:rPr>
          <w:b w:val="0"/>
          <w:sz w:val="22"/>
        </w:rPr>
        <w:t xml:space="preserve"> (la capa de magnitud), pero la decisión incorpora </w:t>
      </w:r>
      <w:r>
        <w:rPr>
          <w:b/>
          <w:sz w:val="22"/>
        </w:rPr>
        <w:t>también la dirección</w:t>
      </w:r>
      <w:r>
        <w:rPr>
          <w:b w:val="0"/>
          <w:sz w:val="22"/>
        </w:rPr>
        <w:t xml:space="preserve">, que ese mapa no representa. Una celda «verde» al lado de la ladera es barata solo en el mapa escalar; </w:t>
      </w:r>
      <w:r>
        <w:rPr>
          <w:b/>
          <w:sz w:val="22"/>
        </w:rPr>
        <w:t>llegar a ella obliga a recorrer la ladera en transversal</w:t>
      </w:r>
      <w:r>
        <w:rPr>
          <w:b w:val="0"/>
          <w:sz w:val="22"/>
        </w:rPr>
        <w:t>, y eso activa la penalización por transversalidad (el riesgo de cizalla que Enagás quiere evitar).</w:t>
      </w:r>
    </w:p>
    <w:p>
      <w:pPr>
        <w:pStyle w:val="Heading2"/>
      </w:pPr>
      <w:r>
        <w:rPr>
          <w:color w:val="1F3864"/>
        </w:rPr>
        <w:t>Caso real (corredor A, perfil «pendiente»)</w:t>
      </w:r>
    </w:p>
    <w:p>
      <w:pPr>
        <w:spacing w:after="160"/>
      </w:pPr>
      <w:r>
        <w:rPr>
          <w:b w:val="0"/>
          <w:sz w:val="22"/>
        </w:rPr>
        <w:t>En el punto donde el trazado atraviesa una banda de pendiente:</w:t>
      </w:r>
    </w:p>
    <w:tbl>
      <w:tblPr>
        <w:tblStyle w:val="TableGrid"/>
        <w:tblW w:type="auto" w:w="0"/>
        <w:jc w:val="center"/>
        <w:tblLook w:firstColumn="1" w:firstRow="1" w:lastColumn="0" w:lastRow="0" w:noHBand="0" w:noVBand="1" w:val="04A0"/>
      </w:tblPr>
      <w:tblGrid>
        <w:gridCol w:w="2880"/>
        <w:gridCol w:w="2880"/>
        <w:gridCol w:w="2880"/>
      </w:tblGrid>
      <w:tr>
        <w:tc>
          <w:tcPr>
            <w:tcW w:type="dxa" w:w="3168"/>
            <w:shd w:val="clear" w:fill="DCE6F1"/>
          </w:tcPr>
          <w:p>
            <w:r>
              <w:rPr>
                <w:b/>
                <w:sz w:val="20"/>
              </w:rPr>
              <w:t>Magnitud</w:t>
            </w:r>
          </w:p>
        </w:tc>
        <w:tc>
          <w:tcPr>
            <w:tcW w:type="dxa" w:w="2736"/>
            <w:shd w:val="clear" w:fill="DCE6F1"/>
          </w:tcPr>
          <w:p>
            <w:r>
              <w:rPr>
                <w:b/>
                <w:sz w:val="20"/>
              </w:rPr>
              <w:t>Valor</w:t>
            </w:r>
          </w:p>
        </w:tc>
        <w:tc>
          <w:tcPr>
            <w:tcW w:type="dxa" w:w="3024"/>
            <w:shd w:val="clear" w:fill="DCE6F1"/>
          </w:tcPr>
          <w:p>
            <w:r>
              <w:rPr>
                <w:b/>
                <w:sz w:val="20"/>
              </w:rPr>
              <w:t>Lectura</w:t>
            </w:r>
          </w:p>
        </w:tc>
      </w:tr>
      <w:tr>
        <w:tc>
          <w:tcPr>
            <w:tcW w:type="dxa" w:w="3168"/>
          </w:tcPr>
          <w:p>
            <w:r>
              <w:rPr>
                <w:b w:val="0"/>
                <w:sz w:val="20"/>
              </w:rPr>
              <w:t>Coste escalar en la celda</w:t>
            </w:r>
          </w:p>
        </w:tc>
        <w:tc>
          <w:tcPr>
            <w:tcW w:type="dxa" w:w="2736"/>
          </w:tcPr>
          <w:p>
            <w:r>
              <w:rPr>
                <w:b w:val="0"/>
                <w:sz w:val="20"/>
              </w:rPr>
              <w:t>1,62 (zona naranja-roja)</w:t>
            </w:r>
          </w:p>
        </w:tc>
        <w:tc>
          <w:tcPr>
            <w:tcW w:type="dxa" w:w="3024"/>
          </w:tcPr>
          <w:p>
            <w:r>
              <w:rPr>
                <w:b w:val="0"/>
                <w:sz w:val="20"/>
              </w:rPr>
              <w:t>Tramo caro: ladera de ≈ 18°.</w:t>
            </w:r>
          </w:p>
        </w:tc>
      </w:tr>
      <w:tr>
        <w:tc>
          <w:tcPr>
            <w:tcW w:type="dxa" w:w="3168"/>
          </w:tcPr>
          <w:p>
            <w:r>
              <w:rPr>
                <w:b w:val="0"/>
                <w:sz w:val="20"/>
              </w:rPr>
              <w:t>Ángulo del trazado vs. línea de máxima pendiente</w:t>
            </w:r>
          </w:p>
        </w:tc>
        <w:tc>
          <w:tcPr>
            <w:tcW w:type="dxa" w:w="2736"/>
          </w:tcPr>
          <w:p>
            <w:r>
              <w:rPr>
                <w:b w:val="0"/>
                <w:sz w:val="20"/>
              </w:rPr>
              <w:t>0–2°</w:t>
            </w:r>
          </w:p>
        </w:tc>
        <w:tc>
          <w:tcPr>
            <w:tcW w:type="dxa" w:w="3024"/>
          </w:tcPr>
          <w:p>
            <w:r>
              <w:rPr>
                <w:b w:val="0"/>
                <w:sz w:val="20"/>
              </w:rPr>
              <w:t>Lo cruza prácticamente de frente (perpendicular a las curvas de nivel).</w:t>
            </w:r>
          </w:p>
        </w:tc>
      </w:tr>
      <w:tr>
        <w:tc>
          <w:tcPr>
            <w:tcW w:type="dxa" w:w="3168"/>
          </w:tcPr>
          <w:p>
            <w:r>
              <w:rPr>
                <w:b w:val="0"/>
                <w:sz w:val="20"/>
              </w:rPr>
              <w:t>¿Existía alternativa más barata?</w:t>
            </w:r>
          </w:p>
        </w:tc>
        <w:tc>
          <w:tcPr>
            <w:tcW w:type="dxa" w:w="2736"/>
          </w:tcPr>
          <w:p>
            <w:r>
              <w:rPr>
                <w:b w:val="0"/>
                <w:sz w:val="20"/>
              </w:rPr>
              <w:t>Sí: coste 0,65 a ≈ 300 m al lado</w:t>
            </w:r>
          </w:p>
        </w:tc>
        <w:tc>
          <w:tcPr>
            <w:tcW w:type="dxa" w:w="3024"/>
          </w:tcPr>
          <w:p>
            <w:r>
              <w:rPr>
                <w:b w:val="0"/>
                <w:sz w:val="20"/>
              </w:rPr>
              <w:t>Había zona verde cercana…</w:t>
            </w:r>
          </w:p>
        </w:tc>
      </w:tr>
      <w:tr>
        <w:tc>
          <w:tcPr>
            <w:tcW w:type="dxa" w:w="3168"/>
          </w:tcPr>
          <w:p>
            <w:r>
              <w:rPr>
                <w:b w:val="0"/>
                <w:sz w:val="20"/>
              </w:rPr>
              <w:t>…pero alcanzarla exigía</w:t>
            </w:r>
          </w:p>
        </w:tc>
        <w:tc>
          <w:tcPr>
            <w:tcW w:type="dxa" w:w="2736"/>
          </w:tcPr>
          <w:p>
            <w:r>
              <w:rPr>
                <w:b w:val="0"/>
                <w:sz w:val="20"/>
              </w:rPr>
              <w:t>recorrido transversal a la ladera</w:t>
            </w:r>
          </w:p>
        </w:tc>
        <w:tc>
          <w:tcPr>
            <w:tcW w:type="dxa" w:w="3024"/>
          </w:tcPr>
          <w:p>
            <w:r>
              <w:rPr>
                <w:b w:val="0"/>
                <w:sz w:val="20"/>
              </w:rPr>
              <w:t>…penalizado con factor (1 + λ), λ = 4,8 en este perfil.</w:t>
            </w:r>
          </w:p>
        </w:tc>
      </w:tr>
    </w:tbl>
    <w:p>
      <w:pPr>
        <w:spacing w:after="40"/>
      </w:pPr>
    </w:p>
    <w:p>
      <w:pPr>
        <w:spacing w:after="160"/>
      </w:pPr>
      <w:r>
        <w:rPr>
          <w:b/>
          <w:sz w:val="22"/>
        </w:rPr>
        <w:t>Conclusión del caso:</w:t>
      </w:r>
      <w:r>
        <w:rPr>
          <w:b w:val="0"/>
          <w:sz w:val="22"/>
        </w:rPr>
        <w:t xml:space="preserve"> el motor comparó las dos opciones y eligió, correctamente, atravesar la banda de pendiente </w:t>
      </w:r>
      <w:r>
        <w:rPr>
          <w:b/>
          <w:sz w:val="22"/>
        </w:rPr>
        <w:t>de frente y corto</w:t>
      </w:r>
      <w:r>
        <w:rPr>
          <w:b w:val="0"/>
          <w:sz w:val="22"/>
        </w:rPr>
        <w:t xml:space="preserve"> en lugar de </w:t>
      </w:r>
      <w:r>
        <w:rPr>
          <w:b/>
          <w:sz w:val="22"/>
        </w:rPr>
        <w:t>rodearla en transversal</w:t>
      </w:r>
      <w:r>
        <w:rPr>
          <w:b w:val="0"/>
          <w:sz w:val="22"/>
        </w:rPr>
        <w:t>. La opción «verde» era más barata únicamente en el mapa escalar; una vez incorporada la transversalidad —el requisito de Enagás— resulta más cara y, sobre todo, geotécnicamente más peligrosa.</w:t>
      </w:r>
    </w:p>
    <w:p>
      <w:pPr>
        <w:spacing w:after="0" w:line="240" w:lineRule="auto"/>
      </w:pPr>
      <w:r>
        <w:rPr>
          <w:rFonts w:ascii="Consolas" w:hAnsi="Consolas"/>
          <w:sz w:val="16"/>
        </w:rPr>
        <w:t xml:space="preserve">        linea de maxima pendiente (caida de la ladera)</w:t>
      </w:r>
    </w:p>
    <w:p>
      <w:pPr>
        <w:spacing w:after="0" w:line="240" w:lineRule="auto"/>
      </w:pPr>
      <w:r>
        <w:rPr>
          <w:rFonts w:ascii="Consolas" w:hAnsi="Consolas"/>
          <w:sz w:val="16"/>
        </w:rPr>
        <w:t xml:space="preserve">                 |   |   |   |</w:t>
      </w:r>
    </w:p>
    <w:p>
      <w:pPr>
        <w:spacing w:after="0" w:line="240" w:lineRule="auto"/>
      </w:pPr>
      <w:r>
        <w:rPr>
          <w:rFonts w:ascii="Consolas" w:hAnsi="Consolas"/>
          <w:sz w:val="16"/>
        </w:rPr>
        <w:t xml:space="preserve">   curvas de     |   |   |   |</w:t>
      </w:r>
    </w:p>
    <w:p>
      <w:pPr>
        <w:spacing w:after="0" w:line="240" w:lineRule="auto"/>
      </w:pPr>
      <w:r>
        <w:rPr>
          <w:rFonts w:ascii="Consolas" w:hAnsi="Consolas"/>
          <w:sz w:val="16"/>
        </w:rPr>
        <w:t xml:space="preserve">   nivel  -------+---+---+---+-------</w:t>
      </w:r>
    </w:p>
    <w:p>
      <w:pPr>
        <w:spacing w:after="0" w:line="240" w:lineRule="auto"/>
      </w:pPr>
      <w:r>
        <w:rPr>
          <w:rFonts w:ascii="Consolas" w:hAnsi="Consolas"/>
          <w:sz w:val="16"/>
        </w:rPr>
        <w:t xml:space="preserve">   ---------------------------------------</w:t>
      </w:r>
    </w:p>
    <w:p>
      <w:pPr>
        <w:spacing w:after="0" w:line="240" w:lineRule="auto"/>
      </w:pPr>
      <w:r>
        <w:rPr>
          <w:rFonts w:ascii="Consolas" w:hAnsi="Consolas"/>
          <w:sz w:val="16"/>
        </w:rPr>
        <w:t xml:space="preserve">        CORRECTO (de frente)      EVITADO (transversal)</w:t>
      </w:r>
    </w:p>
    <w:p>
      <w:pPr>
        <w:spacing w:after="0" w:line="240" w:lineRule="auto"/>
      </w:pPr>
      <w:r>
        <w:rPr>
          <w:rFonts w:ascii="Consolas" w:hAnsi="Consolas"/>
          <w:sz w:val="16"/>
        </w:rPr>
        <w:t xml:space="preserve">            ^                          -----------&gt;</w:t>
      </w:r>
    </w:p>
    <w:p>
      <w:pPr>
        <w:spacing w:after="0" w:line="240" w:lineRule="auto"/>
      </w:pPr>
      <w:r>
        <w:rPr>
          <w:rFonts w:ascii="Consolas" w:hAnsi="Consolas"/>
          <w:sz w:val="16"/>
        </w:rPr>
        <w:t xml:space="preserve">            |  cruza recto,            recorrido largo de</w:t>
      </w:r>
    </w:p>
    <w:p>
      <w:pPr>
        <w:spacing w:after="0" w:line="240" w:lineRule="auto"/>
      </w:pPr>
      <w:r>
        <w:rPr>
          <w:rFonts w:ascii="Consolas" w:hAnsi="Consolas"/>
          <w:sz w:val="16"/>
        </w:rPr>
        <w:t xml:space="preserve">            |  perpendicular           costado por la ladera</w:t>
      </w:r>
    </w:p>
    <w:p>
      <w:pPr>
        <w:spacing w:after="0" w:line="240" w:lineRule="auto"/>
      </w:pPr>
      <w:r>
        <w:rPr>
          <w:rFonts w:ascii="Consolas" w:hAnsi="Consolas"/>
          <w:sz w:val="16"/>
        </w:rPr>
        <w:t xml:space="preserve">            |  a las curvas            (riesgo de cizalla)</w:t>
      </w:r>
    </w:p>
    <w:p>
      <w:pPr>
        <w:spacing w:after="0" w:line="240" w:lineRule="auto"/>
      </w:pPr>
      <w:r>
        <w:rPr>
          <w:rFonts w:ascii="Consolas" w:hAnsi="Consolas"/>
          <w:sz w:val="16"/>
        </w:rPr>
        <w:t xml:space="preserve"> </w:t>
      </w:r>
    </w:p>
    <w:p>
      <w:pPr>
        <w:spacing w:after="80"/>
      </w:pPr>
      <w:r>
        <w:rPr>
          <w:b w:val="0"/>
          <w:sz w:val="22"/>
        </w:rPr>
        <w:t>Este es, en una frase, el comportamiento que pidió Enagás:</w:t>
      </w:r>
    </w:p>
    <w:p>
      <w:pPr>
        <w:ind w:left="432"/>
      </w:pPr>
      <w:r>
        <w:rPr>
          <w:i/>
          <w:color w:val="1F3864"/>
        </w:rPr>
        <w:t>El sistema no evita la pendiente a toda costa; cuando debe cambiar de cota, la afronta de frente, porque rodear de costado saldría más caro y expondría la conducción a deslizamientos.</w:t>
      </w:r>
    </w:p>
    <w:p>
      <w:pPr>
        <w:pStyle w:val="Heading1"/>
      </w:pPr>
      <w:r>
        <w:rPr>
          <w:color w:val="1F3864"/>
        </w:rPr>
        <w:t>7. Resultados en los corredores de prueba</w:t>
      </w:r>
    </w:p>
    <w:p>
      <w:pPr>
        <w:spacing w:after="160"/>
      </w:pPr>
      <w:r>
        <w:rPr>
          <w:b/>
          <w:sz w:val="22"/>
        </w:rPr>
        <w:t>Reducción del recorrido transversal.</w:t>
      </w:r>
      <w:r>
        <w:rPr>
          <w:b w:val="0"/>
          <w:sz w:val="22"/>
        </w:rPr>
        <w:t xml:space="preserve"> Comparando, sobre una misma superficie, el trazado sin y con el nuevo modelo (métrica «exposición transversal» = recorrido medio en pendiente cruzada de costado; menor es mejor):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28"/>
            <w:shd w:val="clear" w:fill="DCE6F1"/>
          </w:tcPr>
          <w:p>
            <w:r>
              <w:rPr>
                <w:b/>
                <w:sz w:val="20"/>
              </w:rPr>
              <w:t>Corredor</w:t>
            </w:r>
          </w:p>
        </w:tc>
        <w:tc>
          <w:tcPr>
            <w:tcW w:type="dxa" w:w="2736"/>
            <w:shd w:val="clear" w:fill="DCE6F1"/>
          </w:tcPr>
          <w:p>
            <w:r>
              <w:rPr>
                <w:b/>
                <w:sz w:val="20"/>
              </w:rPr>
              <w:t>Sin modelo direccional</w:t>
            </w:r>
          </w:p>
        </w:tc>
        <w:tc>
          <w:tcPr>
            <w:tcW w:type="dxa" w:w="2736"/>
            <w:shd w:val="clear" w:fill="DCE6F1"/>
          </w:tcPr>
          <w:p>
            <w:r>
              <w:rPr>
                <w:b/>
                <w:sz w:val="20"/>
              </w:rPr>
              <w:t>Con modelo direccional</w:t>
            </w:r>
          </w:p>
        </w:tc>
        <w:tc>
          <w:tcPr>
            <w:tcW w:type="dxa" w:w="1728"/>
            <w:shd w:val="clear" w:fill="DCE6F1"/>
          </w:tcPr>
          <w:p>
            <w:r>
              <w:rPr>
                <w:b/>
                <w:sz w:val="20"/>
              </w:rPr>
              <w:t>Reducción</w:t>
            </w:r>
          </w:p>
        </w:tc>
      </w:tr>
      <w:tr>
        <w:tc>
          <w:tcPr>
            <w:tcW w:type="dxa" w:w="1728"/>
          </w:tcPr>
          <w:p>
            <w:r>
              <w:rPr>
                <w:b w:val="0"/>
                <w:sz w:val="20"/>
              </w:rPr>
              <w:t>A</w:t>
            </w:r>
          </w:p>
        </w:tc>
        <w:tc>
          <w:tcPr>
            <w:tcW w:type="dxa" w:w="2736"/>
          </w:tcPr>
          <w:p>
            <w:r>
              <w:rPr>
                <w:b w:val="0"/>
                <w:sz w:val="20"/>
              </w:rPr>
              <w:t>0,0377</w:t>
            </w:r>
          </w:p>
        </w:tc>
        <w:tc>
          <w:tcPr>
            <w:tcW w:type="dxa" w:w="2736"/>
          </w:tcPr>
          <w:p>
            <w:r>
              <w:rPr>
                <w:b w:val="0"/>
                <w:sz w:val="20"/>
              </w:rPr>
              <w:t>0,0233</w:t>
            </w:r>
          </w:p>
        </w:tc>
        <w:tc>
          <w:tcPr>
            <w:tcW w:type="dxa" w:w="1728"/>
          </w:tcPr>
          <w:p>
            <w:r>
              <w:rPr>
                <w:b w:val="0"/>
                <w:sz w:val="20"/>
              </w:rPr>
              <w:t>−38 %</w:t>
            </w:r>
          </w:p>
        </w:tc>
      </w:tr>
      <w:tr>
        <w:tc>
          <w:tcPr>
            <w:tcW w:type="dxa" w:w="1728"/>
          </w:tcPr>
          <w:p>
            <w:r>
              <w:rPr>
                <w:b w:val="0"/>
                <w:sz w:val="20"/>
              </w:rPr>
              <w:t>B</w:t>
            </w:r>
          </w:p>
        </w:tc>
        <w:tc>
          <w:tcPr>
            <w:tcW w:type="dxa" w:w="2736"/>
          </w:tcPr>
          <w:p>
            <w:r>
              <w:rPr>
                <w:b w:val="0"/>
                <w:sz w:val="20"/>
              </w:rPr>
              <w:t>0,0352</w:t>
            </w:r>
          </w:p>
        </w:tc>
        <w:tc>
          <w:tcPr>
            <w:tcW w:type="dxa" w:w="2736"/>
          </w:tcPr>
          <w:p>
            <w:r>
              <w:rPr>
                <w:b w:val="0"/>
                <w:sz w:val="20"/>
              </w:rPr>
              <w:t>0,0185</w:t>
            </w:r>
          </w:p>
        </w:tc>
        <w:tc>
          <w:tcPr>
            <w:tcW w:type="dxa" w:w="1728"/>
          </w:tcPr>
          <w:p>
            <w:r>
              <w:rPr>
                <w:b w:val="0"/>
                <w:sz w:val="20"/>
              </w:rPr>
              <w:t>−47 %</w:t>
            </w:r>
          </w:p>
        </w:tc>
      </w:tr>
    </w:tbl>
    <w:p>
      <w:pPr>
        <w:spacing w:after="40"/>
      </w:pPr>
    </w:p>
    <w:p>
      <w:pPr>
        <w:spacing w:after="160"/>
      </w:pPr>
      <w:r>
        <w:rPr>
          <w:b w:val="0"/>
          <w:sz w:val="22"/>
        </w:rPr>
        <w:t xml:space="preserve">El trazado se reorienta para cruzar las laderas de frente </w:t>
      </w:r>
      <w:r>
        <w:rPr>
          <w:b/>
          <w:sz w:val="22"/>
        </w:rPr>
        <w:t>sin alargarse de forma apreciable</w:t>
      </w:r>
      <w:r>
        <w:rPr>
          <w:b w:val="0"/>
          <w:sz w:val="22"/>
        </w:rPr>
        <w:t>.</w:t>
      </w:r>
    </w:p>
    <w:p>
      <w:pPr>
        <w:spacing w:after="160"/>
      </w:pPr>
      <w:r>
        <w:rPr>
          <w:b/>
          <w:sz w:val="22"/>
        </w:rPr>
        <w:t>Diferenciación por perfil.</w:t>
      </w:r>
      <w:r>
        <w:rPr>
          <w:b w:val="0"/>
          <w:sz w:val="22"/>
        </w:rPr>
        <w:t xml:space="preserve"> El modelo se integra con los perfiles de prioridad (más corto, menor impacto ambiental, menor pendiente, equilibrio), produciendo alternativas demostrablemente distintas entre sí.</w:t>
      </w:r>
    </w:p>
    <w:p>
      <w:pPr>
        <w:pStyle w:val="Heading1"/>
      </w:pPr>
      <w:r>
        <w:rPr>
          <w:color w:val="1F3864"/>
        </w:rPr>
        <w:t>8. Estado, parámetros y próximos pasos</w:t>
      </w:r>
    </w:p>
    <w:p>
      <w:pPr>
        <w:pStyle w:val="ListBullet"/>
      </w:pPr>
      <w:r>
        <w:rPr>
          <w:b/>
          <w:sz w:val="22"/>
        </w:rPr>
        <w:t>Implementado:</w:t>
      </w:r>
      <w:r>
        <w:rPr>
          <w:b w:val="0"/>
          <w:sz w:val="22"/>
        </w:rPr>
        <w:t xml:space="preserve"> capa de dirección (σ = 150 m) y motor de ruta anisótropo, integrados con los perfiles de prioridad, sobre los corredores A y B.</w:t>
      </w:r>
    </w:p>
    <w:p>
      <w:pPr>
        <w:pStyle w:val="ListBullet"/>
      </w:pPr>
      <w:r>
        <w:rPr>
          <w:b/>
          <w:sz w:val="22"/>
        </w:rPr>
        <w:t>Parámetro de calibración (λ):</w:t>
      </w:r>
      <w:r>
        <w:rPr>
          <w:b w:val="0"/>
          <w:sz w:val="22"/>
        </w:rPr>
        <w:t xml:space="preserve"> regula la intensidad de la preferencia por el cruce perpendicular. Valor de partida 4,0, escalado por perfil. Su valor definitivo se fijará mediante backtesting contra un ramal real, cuando Enagás facilite uno.</w:t>
      </w:r>
    </w:p>
    <w:p>
      <w:pPr>
        <w:pStyle w:val="ListBullet"/>
      </w:pPr>
      <w:r>
        <w:rPr>
          <w:b/>
          <w:sz w:val="22"/>
        </w:rPr>
        <w:t>Validación del sentido:</w:t>
      </w:r>
      <w:r>
        <w:rPr>
          <w:b w:val="0"/>
          <w:sz w:val="22"/>
        </w:rPr>
        <w:t xml:space="preserve"> verificado que la línea de máxima pendiente apunta correctamente (cuesta abajo) en el 100 % del área de ambos corredores.</w:t>
      </w:r>
    </w:p>
    <w:p>
      <w:pPr>
        <w:pStyle w:val="ListBullet"/>
      </w:pPr>
      <w:r>
        <w:rPr>
          <w:b/>
          <w:sz w:val="22"/>
        </w:rPr>
        <w:t>En evaluación:</w:t>
      </w:r>
      <w:r>
        <w:rPr>
          <w:b w:val="0"/>
          <w:sz w:val="22"/>
        </w:rPr>
        <w:t xml:space="preserve"> se mantienen y compararán dos formulaciones del cruce transversal (una basada en la dirección local de cada tramo y otra en una aproximación global origen→destino) para seleccionar la más robusta con el backtesting.</w:t>
      </w:r>
    </w:p>
    <w:p>
      <w:pPr>
        <w:pStyle w:val="Heading1"/>
      </w:pPr>
      <w:r>
        <w:rPr>
          <w:color w:val="1F3864"/>
        </w:rPr>
        <w:t>9. Conclusión</w:t>
      </w:r>
    </w:p>
    <w:p>
      <w:pPr>
        <w:spacing w:after="160"/>
      </w:pPr>
      <w:r>
        <w:rPr>
          <w:b w:val="0"/>
          <w:sz w:val="22"/>
        </w:rPr>
        <w:t>La propuesta traslada al modelo la indicación principal de Enagás —</w:t>
      </w:r>
      <w:r>
        <w:rPr>
          <w:b/>
          <w:sz w:val="22"/>
        </w:rPr>
        <w:t>el menor coste no es el de menor pendiente</w:t>
      </w:r>
      <w:r>
        <w:rPr>
          <w:b w:val="0"/>
          <w:sz w:val="22"/>
        </w:rPr>
        <w:t xml:space="preserve">— mediante un coste de ruta que distingue </w:t>
      </w:r>
      <w:r>
        <w:rPr>
          <w:b/>
          <w:sz w:val="22"/>
        </w:rPr>
        <w:t>cómo</w:t>
      </w:r>
      <w:r>
        <w:rPr>
          <w:b w:val="0"/>
          <w:sz w:val="22"/>
        </w:rPr>
        <w:t xml:space="preserve"> se cruza la pendiente, no solo cuánta hay. El generador prioriza el cruce </w:t>
      </w:r>
      <w:r>
        <w:rPr>
          <w:b/>
          <w:sz w:val="22"/>
        </w:rPr>
        <w:t>perpendicular</w:t>
      </w:r>
      <w:r>
        <w:rPr>
          <w:b w:val="0"/>
          <w:sz w:val="22"/>
        </w:rPr>
        <w:t xml:space="preserve"> a la ladera, reduce de forma medible el recorrido transversal y, cuando procede, </w:t>
      </w:r>
      <w:r>
        <w:rPr>
          <w:b/>
          <w:sz w:val="22"/>
        </w:rPr>
        <w:t>atraviesa de frente las zonas de mayor pendiente</w:t>
      </w:r>
      <w:r>
        <w:rPr>
          <w:b w:val="0"/>
          <w:sz w:val="22"/>
        </w:rPr>
        <w:t xml:space="preserve"> en lugar de rodearlas de costado. El comportamiento es </w:t>
      </w:r>
      <w:r>
        <w:rPr>
          <w:b/>
          <w:sz w:val="22"/>
        </w:rPr>
        <w:t>deliberado y trazable</w:t>
      </w:r>
      <w:r>
        <w:rPr>
          <w:b w:val="0"/>
          <w:sz w:val="22"/>
        </w:rPr>
        <w:t>, y queda pendiente únicamente de calibración fina con un caso real.</w:t>
      </w:r>
    </w:p>
    <w:p>
      <w:pPr>
        <w:spacing w:before="240"/>
      </w:pPr>
      <w:r>
        <w:rPr>
          <w:i/>
          <w:color w:val="595959"/>
          <w:sz w:val="18"/>
        </w:rPr>
        <w:t>Documento elaborado por el Grupo 6 (CI2 Lab 2026) para su revisión con Enagás. Coste relativo (índice adimensional); el sistema no estima costes económicos absolutos.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