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30"/>
          <w:szCs w:val="30"/>
          <w:lang w:val="en-US" w:eastAsia="zh-CN"/>
        </w:rPr>
      </w:pPr>
      <w:r>
        <w:rPr>
          <w:rFonts w:hint="eastAsia"/>
          <w:sz w:val="30"/>
          <w:szCs w:val="30"/>
          <w:lang w:val="en-US" w:eastAsia="zh-CN"/>
        </w:rPr>
        <w:t>抗原蛋白筛选</w:t>
      </w:r>
    </w:p>
    <w:p>
      <w:pPr>
        <w:jc w:val="both"/>
        <w:rPr>
          <w:rFonts w:hint="eastAsia"/>
          <w:sz w:val="30"/>
          <w:szCs w:val="30"/>
          <w:lang w:val="en-US" w:eastAsia="zh-CN"/>
        </w:rPr>
      </w:pPr>
      <w:r>
        <w:rPr>
          <w:rFonts w:hint="eastAsia"/>
          <w:sz w:val="30"/>
          <w:szCs w:val="30"/>
          <w:lang w:val="en-US" w:eastAsia="zh-CN"/>
        </w:rPr>
        <w:t>本章节可分为四步：亚细胞定位筛选（选出周质，外膜，鞭毛，未知蛋白）、粘附性、抗原性、免疫原性，4个性质均满足的即为候选抗原蛋白，采取递进式筛选以提高效率。具体操作步骤如下：</w:t>
      </w:r>
    </w:p>
    <w:p>
      <w:pPr>
        <w:jc w:val="both"/>
        <w:rPr>
          <w:rFonts w:hint="eastAsia"/>
          <w:sz w:val="30"/>
          <w:szCs w:val="30"/>
          <w:lang w:val="en-US" w:eastAsia="zh-CN"/>
        </w:rPr>
      </w:pPr>
    </w:p>
    <w:p>
      <w:pPr>
        <w:jc w:val="both"/>
        <w:rPr>
          <w:rFonts w:hint="eastAsia"/>
          <w:sz w:val="30"/>
          <w:szCs w:val="30"/>
          <w:lang w:val="en-US" w:eastAsia="zh-CN"/>
        </w:rPr>
      </w:pPr>
    </w:p>
    <w:p>
      <w:pPr>
        <w:numPr>
          <w:ilvl w:val="0"/>
          <w:numId w:val="1"/>
        </w:numPr>
        <w:jc w:val="both"/>
        <w:rPr>
          <w:rFonts w:hint="eastAsia"/>
          <w:sz w:val="30"/>
          <w:szCs w:val="30"/>
          <w:lang w:val="en-US" w:eastAsia="zh-CN"/>
        </w:rPr>
      </w:pPr>
      <w:r>
        <w:rPr>
          <w:rFonts w:hint="eastAsia"/>
          <w:sz w:val="30"/>
          <w:szCs w:val="30"/>
          <w:lang w:val="en-US" w:eastAsia="zh-CN"/>
        </w:rPr>
        <w:t>亚细胞定位</w:t>
      </w:r>
    </w:p>
    <w:p>
      <w:pPr>
        <w:widowControl w:val="0"/>
        <w:numPr>
          <w:ilvl w:val="0"/>
          <w:numId w:val="2"/>
        </w:numPr>
        <w:jc w:val="both"/>
        <w:rPr>
          <w:rFonts w:hint="eastAsia" w:ascii="宋体" w:hAnsi="宋体" w:eastAsia="宋体" w:cs="宋体"/>
          <w:sz w:val="24"/>
          <w:szCs w:val="24"/>
          <w:lang w:val="en-US" w:eastAsia="zh-CN"/>
        </w:rPr>
      </w:pPr>
      <w:r>
        <w:rPr>
          <w:rFonts w:ascii="宋体" w:hAnsi="宋体" w:eastAsia="宋体" w:cs="宋体"/>
          <w:color w:val="FF0000"/>
          <w:sz w:val="24"/>
          <w:szCs w:val="24"/>
        </w:rPr>
        <w:t>PSORTb</w:t>
      </w:r>
      <w:r>
        <w:rPr>
          <w:rFonts w:ascii="宋体" w:hAnsi="宋体" w:eastAsia="宋体" w:cs="宋体"/>
          <w:sz w:val="24"/>
          <w:szCs w:val="24"/>
        </w:rPr>
        <w:t>（https://www.psort.org/psortb/）</w:t>
      </w:r>
      <w:r>
        <w:rPr>
          <w:rFonts w:hint="eastAsia" w:ascii="宋体" w:hAnsi="宋体" w:eastAsia="宋体" w:cs="宋体"/>
          <w:sz w:val="24"/>
          <w:szCs w:val="24"/>
          <w:lang w:val="en-US" w:eastAsia="zh-CN"/>
        </w:rPr>
        <w:t>进行批量亚细胞定位，筛选结果为</w:t>
      </w:r>
      <w:commentRangeStart w:id="0"/>
      <w:r>
        <w:rPr>
          <w:rFonts w:hint="eastAsia" w:ascii="宋体" w:hAnsi="宋体" w:eastAsia="宋体" w:cs="宋体"/>
          <w:color w:val="FF0000"/>
          <w:sz w:val="24"/>
          <w:szCs w:val="24"/>
          <w:lang w:val="en-US" w:eastAsia="zh-CN"/>
        </w:rPr>
        <w:t>外膜蛋白，周质蛋白，膜外，</w:t>
      </w:r>
      <w:commentRangeStart w:id="1"/>
      <w:r>
        <w:rPr>
          <w:rFonts w:hint="eastAsia" w:ascii="宋体" w:hAnsi="宋体" w:eastAsia="宋体" w:cs="宋体"/>
          <w:color w:val="FF0000"/>
          <w:sz w:val="24"/>
          <w:szCs w:val="24"/>
          <w:lang w:val="en-US" w:eastAsia="zh-CN"/>
        </w:rPr>
        <w:t>鞭毛相关蛋白</w:t>
      </w:r>
      <w:commentRangeEnd w:id="1"/>
      <w:r>
        <w:commentReference w:id="1"/>
      </w:r>
      <w:r>
        <w:rPr>
          <w:rFonts w:hint="eastAsia" w:ascii="宋体" w:hAnsi="宋体" w:eastAsia="宋体" w:cs="宋体"/>
          <w:color w:val="FF0000"/>
          <w:sz w:val="24"/>
          <w:szCs w:val="24"/>
          <w:lang w:val="en-US" w:eastAsia="zh-CN"/>
        </w:rPr>
        <w:t>以及未知蛋白</w:t>
      </w:r>
      <w:commentRangeEnd w:id="0"/>
      <w:r>
        <w:commentReference w:id="0"/>
      </w:r>
      <w:r>
        <w:rPr>
          <w:rFonts w:hint="eastAsia" w:ascii="宋体" w:hAnsi="宋体" w:eastAsia="宋体" w:cs="宋体"/>
          <w:sz w:val="24"/>
          <w:szCs w:val="24"/>
          <w:lang w:val="en-US" w:eastAsia="zh-CN"/>
        </w:rPr>
        <w:t>的序列使用其他亚细胞定位程序进行交叉验证。如果预测结果显示可能有多个亚细胞定位也筛选出来进行后续分析。</w:t>
      </w:r>
    </w:p>
    <w:p>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注意：在进行分析时根据目的菌株选择相应的参数，例如下图我们分析的都是弧菌，因此选择了细菌，革兰氏阴性菌。这个程序建议使用邮件接收结果，一般都用学校邮箱哈，当然可以自己试一下当蛋白质数量较少的时候在线输出结果也很方便，但通常这一步蛋白预测数量很多（这里我们是1221个），因此使用邮箱更方便。因为上传蛋白数量可能有限制，可以把之前的1221个蛋白分成好几个记事本，后缀改成FASTA就可以上传依次分析，在邮箱中查看结果了。</w:t>
      </w:r>
    </w:p>
    <w:p>
      <w:pPr>
        <w:widowControl w:val="0"/>
        <w:numPr>
          <w:ilvl w:val="0"/>
          <w:numId w:val="0"/>
        </w:numPr>
        <w:jc w:val="both"/>
        <w:rPr>
          <w:rFonts w:hint="default"/>
          <w:sz w:val="30"/>
          <w:szCs w:val="30"/>
          <w:lang w:val="en-US" w:eastAsia="zh-CN"/>
        </w:rPr>
      </w:pPr>
      <w:r>
        <w:drawing>
          <wp:inline distT="0" distB="0" distL="114300" distR="114300">
            <wp:extent cx="4762500" cy="3585210"/>
            <wp:effectExtent l="0" t="0" r="762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762500" cy="3585210"/>
                    </a:xfrm>
                    <a:prstGeom prst="rect">
                      <a:avLst/>
                    </a:prstGeom>
                    <a:noFill/>
                    <a:ln>
                      <a:noFill/>
                    </a:ln>
                  </pic:spPr>
                </pic:pic>
              </a:graphicData>
            </a:graphic>
          </wp:inline>
        </w:drawing>
      </w:r>
    </w:p>
    <w:p>
      <w:pPr>
        <w:jc w:val="both"/>
        <w:rPr>
          <w:rFonts w:hint="default"/>
          <w:sz w:val="30"/>
          <w:szCs w:val="30"/>
          <w:lang w:val="en-US" w:eastAsia="zh-CN"/>
        </w:rPr>
      </w:pPr>
      <w:r>
        <w:drawing>
          <wp:inline distT="0" distB="0" distL="114300" distR="114300">
            <wp:extent cx="3996055" cy="1982470"/>
            <wp:effectExtent l="0" t="0" r="1206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996055" cy="1982470"/>
                    </a:xfrm>
                    <a:prstGeom prst="rect">
                      <a:avLst/>
                    </a:prstGeom>
                    <a:noFill/>
                    <a:ln>
                      <a:noFill/>
                    </a:ln>
                  </pic:spPr>
                </pic:pic>
              </a:graphicData>
            </a:graphic>
          </wp:inline>
        </w:drawing>
      </w:r>
    </w:p>
    <w:p>
      <w:r>
        <w:drawing>
          <wp:inline distT="0" distB="0" distL="114300" distR="114300">
            <wp:extent cx="4442460" cy="2176145"/>
            <wp:effectExtent l="0" t="0" r="762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442460" cy="2176145"/>
                    </a:xfrm>
                    <a:prstGeom prst="rect">
                      <a:avLst/>
                    </a:prstGeom>
                    <a:noFill/>
                    <a:ln>
                      <a:noFill/>
                    </a:ln>
                  </pic:spPr>
                </pic:pic>
              </a:graphicData>
            </a:graphic>
          </wp:inline>
        </w:drawing>
      </w:r>
    </w:p>
    <w:p>
      <w:pPr>
        <w:keepNext w:val="0"/>
        <w:keepLines w:val="0"/>
        <w:pageBreakBefore w:val="0"/>
        <w:widowControl w:val="0"/>
        <w:numPr>
          <w:ilvl w:val="0"/>
          <w:numId w:val="2"/>
        </w:numPr>
        <w:kinsoku/>
        <w:wordWrap w:val="0"/>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b w:val="0"/>
          <w:bCs w:val="0"/>
          <w:color w:val="auto"/>
          <w:kern w:val="0"/>
          <w:sz w:val="24"/>
          <w:szCs w:val="24"/>
          <w:lang w:val="en-US" w:eastAsia="zh-CN"/>
        </w:rPr>
      </w:pPr>
      <w:r>
        <w:rPr>
          <w:rFonts w:hint="eastAsia"/>
          <w:lang w:val="en-US" w:eastAsia="zh-CN"/>
        </w:rPr>
        <w:t>确定好符合要求的蛋白后，整理后用</w:t>
      </w:r>
      <w:r>
        <w:rPr>
          <w:rFonts w:hint="default" w:ascii="Times New Roman" w:hAnsi="Times New Roman" w:eastAsia="宋体" w:cs="Times New Roman"/>
          <w:b w:val="0"/>
          <w:bCs w:val="0"/>
          <w:kern w:val="0"/>
          <w:sz w:val="24"/>
          <w:szCs w:val="24"/>
          <w:lang w:val="en-US" w:eastAsia="zh-CN"/>
        </w:rPr>
        <w:t>Gneg-mPLoc（</w:t>
      </w:r>
      <w:r>
        <w:rPr>
          <w:rStyle w:val="6"/>
          <w:rFonts w:hint="default" w:ascii="Times New Roman" w:hAnsi="Times New Roman" w:cs="Times New Roman"/>
          <w:sz w:val="24"/>
          <w:szCs w:val="24"/>
          <w:u w:val="none"/>
        </w:rPr>
        <w:fldChar w:fldCharType="begin"/>
      </w:r>
      <w:r>
        <w:rPr>
          <w:rStyle w:val="6"/>
          <w:rFonts w:hint="default" w:ascii="Times New Roman" w:hAnsi="Times New Roman" w:cs="Times New Roman"/>
          <w:sz w:val="24"/>
          <w:szCs w:val="24"/>
          <w:u w:val="none"/>
        </w:rPr>
        <w:instrText xml:space="preserve"> HYPERLINK "http://www.csbio.sjtu.edu.cn/bioinf/Gneg-multi/" </w:instrText>
      </w:r>
      <w:r>
        <w:rPr>
          <w:rStyle w:val="6"/>
          <w:rFonts w:hint="default" w:ascii="Times New Roman" w:hAnsi="Times New Roman" w:cs="Times New Roman"/>
          <w:sz w:val="24"/>
          <w:szCs w:val="24"/>
          <w:u w:val="none"/>
        </w:rPr>
        <w:fldChar w:fldCharType="separate"/>
      </w:r>
      <w:r>
        <w:rPr>
          <w:rStyle w:val="5"/>
          <w:rFonts w:hint="default" w:ascii="Times New Roman" w:hAnsi="Times New Roman" w:cs="Times New Roman"/>
          <w:sz w:val="24"/>
          <w:szCs w:val="24"/>
          <w:u w:val="none"/>
        </w:rPr>
        <w:t>http://www.csbio.sjtu.edu.cn/bioinf/Gneg-multi/</w:t>
      </w:r>
      <w:r>
        <w:rPr>
          <w:rStyle w:val="6"/>
          <w:rFonts w:hint="default" w:ascii="Times New Roman" w:hAnsi="Times New Roman" w:cs="Times New Roman"/>
          <w:sz w:val="24"/>
          <w:szCs w:val="24"/>
          <w:u w:val="none"/>
        </w:rPr>
        <w:fldChar w:fldCharType="end"/>
      </w:r>
      <w:r>
        <w:rPr>
          <w:rFonts w:hint="default" w:ascii="Times New Roman" w:hAnsi="Times New Roman" w:eastAsia="宋体" w:cs="Times New Roman"/>
          <w:b w:val="0"/>
          <w:bCs w:val="0"/>
          <w:kern w:val="0"/>
          <w:sz w:val="24"/>
          <w:szCs w:val="24"/>
          <w:lang w:val="en-US" w:eastAsia="zh-CN"/>
        </w:rPr>
        <w:t>）CELLO（</w:t>
      </w:r>
      <w:r>
        <w:rPr>
          <w:rStyle w:val="6"/>
          <w:rFonts w:hint="default" w:ascii="Times New Roman" w:hAnsi="Times New Roman" w:cs="Times New Roman"/>
          <w:sz w:val="24"/>
          <w:szCs w:val="24"/>
          <w:u w:val="none"/>
        </w:rPr>
        <w:fldChar w:fldCharType="begin"/>
      </w:r>
      <w:r>
        <w:rPr>
          <w:rStyle w:val="6"/>
          <w:rFonts w:hint="default" w:ascii="Times New Roman" w:hAnsi="Times New Roman" w:cs="Times New Roman"/>
          <w:sz w:val="24"/>
          <w:szCs w:val="24"/>
          <w:u w:val="none"/>
        </w:rPr>
        <w:instrText xml:space="preserve"> HYPERLINK "http://cello.life.nctu.edu.tw/" </w:instrText>
      </w:r>
      <w:r>
        <w:rPr>
          <w:rStyle w:val="6"/>
          <w:rFonts w:hint="default" w:ascii="Times New Roman" w:hAnsi="Times New Roman" w:cs="Times New Roman"/>
          <w:sz w:val="24"/>
          <w:szCs w:val="24"/>
          <w:u w:val="none"/>
        </w:rPr>
        <w:fldChar w:fldCharType="separate"/>
      </w:r>
      <w:r>
        <w:rPr>
          <w:rStyle w:val="6"/>
          <w:rFonts w:hint="default" w:ascii="Times New Roman" w:hAnsi="Times New Roman" w:cs="Times New Roman"/>
          <w:sz w:val="24"/>
          <w:szCs w:val="24"/>
          <w:u w:val="none"/>
        </w:rPr>
        <w:t>http://cello.life.nctu.edu.tw/</w:t>
      </w:r>
      <w:r>
        <w:rPr>
          <w:rStyle w:val="6"/>
          <w:rFonts w:hint="default" w:ascii="Times New Roman" w:hAnsi="Times New Roman" w:cs="Times New Roman"/>
          <w:sz w:val="24"/>
          <w:szCs w:val="24"/>
          <w:u w:val="none"/>
        </w:rPr>
        <w:fldChar w:fldCharType="end"/>
      </w:r>
      <w:r>
        <w:rPr>
          <w:rFonts w:hint="default" w:ascii="Times New Roman" w:hAnsi="Times New Roman" w:eastAsia="宋体" w:cs="Times New Roman"/>
          <w:b w:val="0"/>
          <w:bCs w:val="0"/>
          <w:kern w:val="0"/>
          <w:sz w:val="24"/>
          <w:szCs w:val="24"/>
          <w:lang w:val="en-US" w:eastAsia="zh-CN"/>
        </w:rPr>
        <w:t>）</w:t>
      </w:r>
      <w:r>
        <w:rPr>
          <w:rFonts w:hint="eastAsia" w:ascii="Times New Roman" w:hAnsi="Times New Roman" w:eastAsia="宋体" w:cs="Times New Roman"/>
          <w:b w:val="0"/>
          <w:bCs w:val="0"/>
          <w:kern w:val="0"/>
          <w:sz w:val="24"/>
          <w:szCs w:val="24"/>
          <w:lang w:val="en-US" w:eastAsia="zh-CN"/>
        </w:rPr>
        <w:t>两个程序交叉验证，当然用其他亚细胞定位程序验证也可以，多个程序验证符合要求则为阳性蛋白，如果多个程序结果不一致使用</w:t>
      </w:r>
      <w:r>
        <w:rPr>
          <w:rFonts w:hint="eastAsia" w:ascii="Times New Roman" w:hAnsi="Times New Roman" w:eastAsia="宋体" w:cs="Times New Roman"/>
          <w:b w:val="0"/>
          <w:bCs w:val="0"/>
          <w:color w:val="FF0000"/>
          <w:kern w:val="0"/>
          <w:sz w:val="24"/>
          <w:szCs w:val="24"/>
          <w:lang w:val="en-US" w:eastAsia="zh-CN"/>
        </w:rPr>
        <w:t>UniProt blast</w:t>
      </w:r>
      <w:r>
        <w:rPr>
          <w:rFonts w:hint="eastAsia" w:ascii="Times New Roman" w:hAnsi="Times New Roman" w:eastAsia="宋体" w:cs="Times New Roman"/>
          <w:b w:val="0"/>
          <w:bCs w:val="0"/>
          <w:color w:val="auto"/>
          <w:kern w:val="0"/>
          <w:sz w:val="24"/>
          <w:szCs w:val="24"/>
          <w:lang w:val="en-US" w:eastAsia="zh-CN"/>
        </w:rPr>
        <w:t>检索蛋白序列为准。</w:t>
      </w:r>
    </w:p>
    <w:p>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ascii="Times New Roman" w:hAnsi="Times New Roman" w:eastAsia="宋体" w:cs="Times New Roman"/>
          <w:b w:val="0"/>
          <w:bCs w:val="0"/>
          <w:color w:val="auto"/>
          <w:kern w:val="0"/>
          <w:sz w:val="24"/>
          <w:szCs w:val="24"/>
          <w:lang w:val="en-US" w:eastAsia="zh-CN"/>
        </w:rPr>
      </w:pPr>
      <w:r>
        <w:drawing>
          <wp:inline distT="0" distB="0" distL="114300" distR="114300">
            <wp:extent cx="4834890" cy="3186430"/>
            <wp:effectExtent l="0" t="0" r="1143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834890" cy="3186430"/>
                    </a:xfrm>
                    <a:prstGeom prst="rect">
                      <a:avLst/>
                    </a:prstGeom>
                    <a:noFill/>
                    <a:ln>
                      <a:noFill/>
                    </a:ln>
                  </pic:spPr>
                </pic:pic>
              </a:graphicData>
            </a:graphic>
          </wp:inline>
        </w:drawing>
      </w:r>
    </w:p>
    <w:p>
      <w:pPr>
        <w:keepNext w:val="0"/>
        <w:keepLines w:val="0"/>
        <w:pageBreakBefore w:val="0"/>
        <w:widowControl w:val="0"/>
        <w:kinsoku/>
        <w:wordWrap w:val="0"/>
        <w:overflowPunct/>
        <w:topLinePunct w:val="0"/>
        <w:autoSpaceDE/>
        <w:autoSpaceDN/>
        <w:bidi w:val="0"/>
        <w:adjustRightInd/>
        <w:snapToGrid/>
        <w:textAlignment w:val="auto"/>
        <w:rPr>
          <w:rFonts w:hint="eastAsia" w:eastAsia="宋体"/>
          <w:lang w:val="en-US" w:eastAsia="zh-CN"/>
        </w:rPr>
      </w:pPr>
    </w:p>
    <w:p>
      <w:pPr>
        <w:numPr>
          <w:ilvl w:val="0"/>
          <w:numId w:val="1"/>
        </w:numPr>
        <w:jc w:val="both"/>
        <w:rPr>
          <w:rFonts w:hint="eastAsia"/>
          <w:sz w:val="30"/>
          <w:szCs w:val="30"/>
          <w:lang w:val="en-US" w:eastAsia="zh-CN"/>
        </w:rPr>
      </w:pPr>
      <w:r>
        <w:rPr>
          <w:rFonts w:hint="eastAsia"/>
          <w:sz w:val="30"/>
          <w:szCs w:val="30"/>
          <w:lang w:val="en-US" w:eastAsia="zh-CN"/>
        </w:rPr>
        <w:t>粘附性预测（可能需要VPN）</w:t>
      </w:r>
    </w:p>
    <w:p>
      <w:pPr>
        <w:keepNext w:val="0"/>
        <w:keepLines w:val="0"/>
        <w:pageBreakBefore w:val="0"/>
        <w:widowControl w:val="0"/>
        <w:numPr>
          <w:ilvl w:val="0"/>
          <w:numId w:val="3"/>
        </w:numPr>
        <w:kinsoku/>
        <w:wordWrap w:val="0"/>
        <w:overflowPunct/>
        <w:topLinePunct w:val="0"/>
        <w:autoSpaceDE/>
        <w:autoSpaceDN/>
        <w:bidi w:val="0"/>
        <w:adjustRightInd/>
        <w:snapToGrid/>
        <w:textAlignment w:val="auto"/>
        <w:rPr>
          <w:rFonts w:hint="eastAsia" w:eastAsia="宋体"/>
          <w:lang w:val="en-US" w:eastAsia="zh-CN"/>
        </w:rPr>
      </w:pPr>
      <w:r>
        <w:rPr>
          <w:rFonts w:hint="default" w:eastAsia="宋体"/>
          <w:color w:val="FF0000"/>
          <w:lang w:val="en-US" w:eastAsia="zh-CN"/>
        </w:rPr>
        <w:t xml:space="preserve">Vaxign2 </w:t>
      </w:r>
      <w:r>
        <w:rPr>
          <w:rFonts w:hint="default" w:eastAsia="宋体"/>
          <w:lang w:val="en-US" w:eastAsia="zh-CN"/>
        </w:rPr>
        <w:t>网络服务器</w:t>
      </w:r>
      <w:r>
        <w:rPr>
          <w:rFonts w:hint="eastAsia" w:eastAsia="宋体"/>
          <w:lang w:val="en-US" w:eastAsia="zh-CN"/>
        </w:rPr>
        <w:t>（</w:t>
      </w:r>
      <w:r>
        <w:rPr>
          <w:rFonts w:hint="default" w:eastAsia="宋体"/>
          <w:lang w:val="en-US" w:eastAsia="zh-CN"/>
        </w:rPr>
        <w:t>https://violinet.org/vaxign2</w:t>
      </w:r>
      <w:r>
        <w:rPr>
          <w:rFonts w:hint="eastAsia" w:eastAsia="宋体"/>
          <w:lang w:val="en-US" w:eastAsia="zh-CN"/>
        </w:rPr>
        <w:t>）进行预测，将上一步筛选得到的蛋白质序列以FASTA格式输入后提交，选择默认参数即可，即粘附率，亚细胞定位，跨膜螺旋，在线分析等待结果即可。</w:t>
      </w:r>
    </w:p>
    <w:p>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pPr>
      <w:r>
        <w:drawing>
          <wp:inline distT="0" distB="0" distL="114300" distR="114300">
            <wp:extent cx="5273040" cy="3254375"/>
            <wp:effectExtent l="0" t="0" r="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73040" cy="3254375"/>
                    </a:xfrm>
                    <a:prstGeom prst="rect">
                      <a:avLst/>
                    </a:prstGeom>
                    <a:noFill/>
                    <a:ln>
                      <a:noFill/>
                    </a:ln>
                  </pic:spPr>
                </pic:pic>
              </a:graphicData>
            </a:graphic>
          </wp:inline>
        </w:drawing>
      </w:r>
    </w:p>
    <w:p>
      <w:pPr>
        <w:keepNext w:val="0"/>
        <w:keepLines w:val="0"/>
        <w:pageBreakBefore w:val="0"/>
        <w:widowControl w:val="0"/>
        <w:numPr>
          <w:ilvl w:val="0"/>
          <w:numId w:val="3"/>
        </w:numPr>
        <w:kinsoku/>
        <w:wordWrap w:val="0"/>
        <w:overflowPunct/>
        <w:topLinePunct w:val="0"/>
        <w:autoSpaceDE/>
        <w:autoSpaceDN/>
        <w:bidi w:val="0"/>
        <w:adjustRightInd/>
        <w:snapToGrid/>
        <w:ind w:left="0" w:leftChars="0" w:firstLine="0" w:firstLineChars="0"/>
        <w:jc w:val="both"/>
        <w:textAlignment w:val="auto"/>
        <w:rPr>
          <w:rFonts w:hint="eastAsia"/>
          <w:lang w:val="en-US" w:eastAsia="zh-CN"/>
        </w:rPr>
      </w:pPr>
      <w:r>
        <w:rPr>
          <w:rFonts w:hint="eastAsia"/>
          <w:lang w:val="en-US" w:eastAsia="zh-CN"/>
        </w:rPr>
        <w:t>根据结果筛选蛋白（</w:t>
      </w:r>
      <w:commentRangeStart w:id="2"/>
      <w:r>
        <w:rPr>
          <w:rFonts w:hint="eastAsia"/>
          <w:color w:val="FF0000"/>
          <w:lang w:val="en-US" w:eastAsia="zh-CN"/>
        </w:rPr>
        <w:t>粘附性&gt;0.4，跨膜螺旋数&lt;2</w:t>
      </w:r>
      <w:commentRangeEnd w:id="2"/>
      <w:r>
        <w:commentReference w:id="2"/>
      </w:r>
      <w:r>
        <w:rPr>
          <w:rFonts w:hint="eastAsia"/>
          <w:lang w:val="en-US" w:eastAsia="zh-CN"/>
        </w:rPr>
        <w:t>）</w:t>
      </w:r>
    </w:p>
    <w:p>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pPr>
      <w:r>
        <w:drawing>
          <wp:inline distT="0" distB="0" distL="114300" distR="114300">
            <wp:extent cx="5271770" cy="3150235"/>
            <wp:effectExtent l="0" t="0" r="127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71770" cy="3150235"/>
                    </a:xfrm>
                    <a:prstGeom prst="rect">
                      <a:avLst/>
                    </a:prstGeom>
                    <a:noFill/>
                    <a:ln>
                      <a:noFill/>
                    </a:ln>
                  </pic:spPr>
                </pic:pic>
              </a:graphicData>
            </a:graphic>
          </wp:inline>
        </w:drawing>
      </w:r>
    </w:p>
    <w:p>
      <w:r>
        <w:br w:type="page"/>
      </w:r>
    </w:p>
    <w:p>
      <w:pPr>
        <w:numPr>
          <w:ilvl w:val="0"/>
          <w:numId w:val="1"/>
        </w:numPr>
        <w:jc w:val="both"/>
        <w:rPr>
          <w:rFonts w:hint="eastAsia"/>
          <w:sz w:val="30"/>
          <w:szCs w:val="30"/>
          <w:lang w:val="en-US" w:eastAsia="zh-CN"/>
        </w:rPr>
      </w:pPr>
      <w:r>
        <w:rPr>
          <w:rFonts w:hint="eastAsia"/>
          <w:sz w:val="30"/>
          <w:szCs w:val="30"/>
          <w:lang w:val="en-US" w:eastAsia="zh-CN"/>
        </w:rPr>
        <w:t>抗原性</w:t>
      </w:r>
    </w:p>
    <w:p>
      <w:pPr>
        <w:widowControl w:val="0"/>
        <w:numPr>
          <w:ilvl w:val="0"/>
          <w:numId w:val="4"/>
        </w:numPr>
        <w:jc w:val="both"/>
        <w:rPr>
          <w:rFonts w:hint="eastAsia" w:ascii="Times New Roman" w:hAnsi="Times New Roman" w:eastAsia="宋体" w:cs="Times New Roman"/>
          <w:b w:val="0"/>
          <w:bCs w:val="0"/>
          <w:kern w:val="0"/>
          <w:sz w:val="24"/>
          <w:szCs w:val="24"/>
          <w:lang w:val="en-US" w:eastAsia="zh-CN"/>
        </w:rPr>
      </w:pPr>
      <w:r>
        <w:rPr>
          <w:rFonts w:hint="eastAsia"/>
          <w:sz w:val="30"/>
          <w:szCs w:val="30"/>
          <w:lang w:val="en-US" w:eastAsia="zh-CN"/>
        </w:rPr>
        <w:t>使用</w:t>
      </w:r>
      <w:r>
        <w:rPr>
          <w:rFonts w:hint="default" w:ascii="Times New Roman" w:hAnsi="Times New Roman" w:eastAsia="宋体" w:cs="Times New Roman"/>
          <w:color w:val="000000"/>
          <w:kern w:val="0"/>
          <w:sz w:val="24"/>
          <w:szCs w:val="24"/>
          <w:lang w:val="en-US" w:eastAsia="zh-CN" w:bidi="ar"/>
        </w:rPr>
        <w:t>Vaxijen（</w:t>
      </w:r>
      <w:r>
        <w:rPr>
          <w:rStyle w:val="6"/>
          <w:rFonts w:hint="default" w:ascii="Times New Roman" w:hAnsi="Times New Roman" w:cs="Times New Roman"/>
          <w:sz w:val="24"/>
          <w:szCs w:val="24"/>
          <w:u w:val="none"/>
        </w:rPr>
        <w:fldChar w:fldCharType="begin"/>
      </w:r>
      <w:r>
        <w:rPr>
          <w:rStyle w:val="6"/>
          <w:rFonts w:hint="default" w:ascii="Times New Roman" w:hAnsi="Times New Roman" w:cs="Times New Roman"/>
          <w:sz w:val="24"/>
          <w:szCs w:val="24"/>
          <w:u w:val="none"/>
        </w:rPr>
        <w:instrText xml:space="preserve"> HYPERLINK "https://www.ddg-pharmfac.net/vaxijen/VaxiJen/VaxiJen.html" </w:instrText>
      </w:r>
      <w:r>
        <w:rPr>
          <w:rStyle w:val="6"/>
          <w:rFonts w:hint="default" w:ascii="Times New Roman" w:hAnsi="Times New Roman" w:cs="Times New Roman"/>
          <w:sz w:val="24"/>
          <w:szCs w:val="24"/>
          <w:u w:val="none"/>
        </w:rPr>
        <w:fldChar w:fldCharType="separate"/>
      </w:r>
      <w:r>
        <w:rPr>
          <w:rStyle w:val="5"/>
          <w:rFonts w:hint="default" w:ascii="Times New Roman" w:hAnsi="Times New Roman" w:cs="Times New Roman"/>
          <w:sz w:val="24"/>
          <w:szCs w:val="24"/>
          <w:u w:val="none"/>
        </w:rPr>
        <w:t>https://www.ddg-pharmfac.net/vaxijen/VaxiJen/VaxiJen.html</w:t>
      </w:r>
      <w:r>
        <w:rPr>
          <w:rStyle w:val="6"/>
          <w:rFonts w:hint="default" w:ascii="Times New Roman" w:hAnsi="Times New Roman" w:cs="Times New Roman"/>
          <w:sz w:val="24"/>
          <w:szCs w:val="24"/>
          <w:u w:val="none"/>
        </w:rPr>
        <w:fldChar w:fldCharType="end"/>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和</w:t>
      </w:r>
      <w:r>
        <w:rPr>
          <w:rFonts w:hint="default" w:ascii="Times New Roman" w:hAnsi="Times New Roman" w:eastAsia="宋体" w:cs="Times New Roman"/>
          <w:b w:val="0"/>
          <w:bCs w:val="0"/>
          <w:kern w:val="0"/>
          <w:sz w:val="24"/>
          <w:szCs w:val="24"/>
          <w:lang w:val="en-US" w:eastAsia="zh-CN"/>
        </w:rPr>
        <w:t>ANTIGENpro（</w:t>
      </w:r>
      <w:r>
        <w:rPr>
          <w:rStyle w:val="6"/>
          <w:rFonts w:hint="default" w:ascii="Times New Roman" w:hAnsi="Times New Roman" w:cs="Times New Roman"/>
          <w:sz w:val="24"/>
          <w:szCs w:val="24"/>
          <w:u w:val="none"/>
        </w:rPr>
        <w:fldChar w:fldCharType="begin"/>
      </w:r>
      <w:r>
        <w:rPr>
          <w:rStyle w:val="6"/>
          <w:rFonts w:hint="default" w:ascii="Times New Roman" w:hAnsi="Times New Roman" w:cs="Times New Roman"/>
          <w:sz w:val="24"/>
          <w:szCs w:val="24"/>
          <w:u w:val="none"/>
        </w:rPr>
        <w:instrText xml:space="preserve"> HYPERLINK "https://scratch.proteomics.ics.uci.edu/" </w:instrText>
      </w:r>
      <w:r>
        <w:rPr>
          <w:rStyle w:val="6"/>
          <w:rFonts w:hint="default" w:ascii="Times New Roman" w:hAnsi="Times New Roman" w:cs="Times New Roman"/>
          <w:sz w:val="24"/>
          <w:szCs w:val="24"/>
          <w:u w:val="none"/>
        </w:rPr>
        <w:fldChar w:fldCharType="separate"/>
      </w:r>
      <w:r>
        <w:rPr>
          <w:rStyle w:val="5"/>
          <w:rFonts w:hint="default" w:ascii="Times New Roman" w:hAnsi="Times New Roman" w:cs="Times New Roman"/>
          <w:sz w:val="24"/>
          <w:szCs w:val="24"/>
          <w:u w:val="none"/>
        </w:rPr>
        <w:t>https://scratch.proteomics.ics.uci.edu/</w:t>
      </w:r>
      <w:r>
        <w:rPr>
          <w:rStyle w:val="6"/>
          <w:rFonts w:hint="default" w:ascii="Times New Roman" w:hAnsi="Times New Roman" w:cs="Times New Roman"/>
          <w:sz w:val="24"/>
          <w:szCs w:val="24"/>
          <w:u w:val="none"/>
        </w:rPr>
        <w:fldChar w:fldCharType="end"/>
      </w:r>
      <w:r>
        <w:rPr>
          <w:rFonts w:hint="default" w:ascii="Times New Roman" w:hAnsi="Times New Roman" w:eastAsia="宋体" w:cs="Times New Roman"/>
          <w:b w:val="0"/>
          <w:bCs w:val="0"/>
          <w:kern w:val="0"/>
          <w:sz w:val="24"/>
          <w:szCs w:val="24"/>
          <w:lang w:val="en-US" w:eastAsia="zh-CN"/>
        </w:rPr>
        <w:t>）</w:t>
      </w:r>
      <w:r>
        <w:rPr>
          <w:rFonts w:hint="eastAsia" w:ascii="Times New Roman" w:hAnsi="Times New Roman" w:eastAsia="宋体" w:cs="Times New Roman"/>
          <w:b w:val="0"/>
          <w:bCs w:val="0"/>
          <w:kern w:val="0"/>
          <w:sz w:val="24"/>
          <w:szCs w:val="24"/>
          <w:lang w:val="en-US" w:eastAsia="zh-CN"/>
        </w:rPr>
        <w:t>进行抗原性预测，将上一步筛选过滤后的蛋白输入后预测，阈值分别为</w:t>
      </w:r>
      <w:r>
        <w:rPr>
          <w:rFonts w:hint="eastAsia" w:ascii="Times New Roman" w:hAnsi="Times New Roman" w:eastAsia="宋体" w:cs="Times New Roman"/>
          <w:b w:val="0"/>
          <w:bCs w:val="0"/>
          <w:color w:val="FF0000"/>
          <w:kern w:val="0"/>
          <w:sz w:val="24"/>
          <w:szCs w:val="24"/>
          <w:lang w:val="en-US" w:eastAsia="zh-CN"/>
        </w:rPr>
        <w:t>0.4和0.5</w:t>
      </w:r>
      <w:r>
        <w:rPr>
          <w:rFonts w:hint="eastAsia" w:ascii="Times New Roman" w:hAnsi="Times New Roman" w:eastAsia="宋体" w:cs="Times New Roman"/>
          <w:b w:val="0"/>
          <w:bCs w:val="0"/>
          <w:color w:val="auto"/>
          <w:kern w:val="0"/>
          <w:sz w:val="24"/>
          <w:szCs w:val="24"/>
          <w:lang w:val="en-US" w:eastAsia="zh-CN"/>
        </w:rPr>
        <w:t>如下图。</w:t>
      </w:r>
    </w:p>
    <w:p>
      <w:pPr>
        <w:widowControl w:val="0"/>
        <w:numPr>
          <w:ilvl w:val="0"/>
          <w:numId w:val="0"/>
        </w:numPr>
        <w:jc w:val="both"/>
      </w:pPr>
      <w:r>
        <w:drawing>
          <wp:inline distT="0" distB="0" distL="114300" distR="114300">
            <wp:extent cx="5273040" cy="2476500"/>
            <wp:effectExtent l="0" t="0" r="0"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73040" cy="2476500"/>
                    </a:xfrm>
                    <a:prstGeom prst="rect">
                      <a:avLst/>
                    </a:prstGeom>
                    <a:noFill/>
                    <a:ln>
                      <a:noFill/>
                    </a:ln>
                  </pic:spPr>
                </pic:pic>
              </a:graphicData>
            </a:graphic>
          </wp:inline>
        </w:drawing>
      </w:r>
    </w:p>
    <w:p>
      <w:pPr>
        <w:widowControl w:val="0"/>
        <w:numPr>
          <w:ilvl w:val="0"/>
          <w:numId w:val="0"/>
        </w:numPr>
        <w:jc w:val="center"/>
      </w:pPr>
      <w:r>
        <w:drawing>
          <wp:inline distT="0" distB="0" distL="114300" distR="114300">
            <wp:extent cx="5193665" cy="3153410"/>
            <wp:effectExtent l="0" t="0" r="3175" b="12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193665" cy="3153410"/>
                    </a:xfrm>
                    <a:prstGeom prst="rect">
                      <a:avLst/>
                    </a:prstGeom>
                    <a:noFill/>
                    <a:ln>
                      <a:noFill/>
                    </a:ln>
                  </pic:spPr>
                </pic:pic>
              </a:graphicData>
            </a:graphic>
          </wp:inline>
        </w:drawing>
      </w:r>
    </w:p>
    <w:p>
      <w:pPr>
        <w:widowControl w:val="0"/>
        <w:numPr>
          <w:ilvl w:val="0"/>
          <w:numId w:val="0"/>
        </w:numPr>
        <w:jc w:val="center"/>
        <w:rPr>
          <w:rFonts w:hint="default"/>
          <w:lang w:val="en-US" w:eastAsia="zh-CN"/>
        </w:rPr>
      </w:pPr>
      <w:r>
        <w:drawing>
          <wp:inline distT="0" distB="0" distL="114300" distR="114300">
            <wp:extent cx="4725670" cy="1740535"/>
            <wp:effectExtent l="0" t="0" r="13970" b="1206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725670" cy="1740535"/>
                    </a:xfrm>
                    <a:prstGeom prst="rect">
                      <a:avLst/>
                    </a:prstGeom>
                    <a:noFill/>
                    <a:ln>
                      <a:noFill/>
                    </a:ln>
                  </pic:spPr>
                </pic:pic>
              </a:graphicData>
            </a:graphic>
          </wp:inline>
        </w:drawing>
      </w:r>
    </w:p>
    <w:p>
      <w:pPr>
        <w:numPr>
          <w:ilvl w:val="0"/>
          <w:numId w:val="1"/>
        </w:numPr>
        <w:jc w:val="both"/>
        <w:rPr>
          <w:rFonts w:hint="eastAsia"/>
          <w:sz w:val="30"/>
          <w:szCs w:val="30"/>
          <w:lang w:val="en-US" w:eastAsia="zh-CN"/>
        </w:rPr>
      </w:pPr>
      <w:r>
        <w:rPr>
          <w:rFonts w:hint="eastAsia"/>
          <w:sz w:val="30"/>
          <w:szCs w:val="30"/>
          <w:lang w:val="en-US" w:eastAsia="zh-CN"/>
        </w:rPr>
        <w:t>免疫原性</w:t>
      </w:r>
    </w:p>
    <w:p>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eastAsia="宋体"/>
          <w:sz w:val="30"/>
          <w:szCs w:val="30"/>
          <w:lang w:val="en-US" w:eastAsia="zh-CN"/>
        </w:rPr>
      </w:pPr>
      <w:r>
        <w:rPr>
          <w:rFonts w:ascii="宋体" w:hAnsi="宋体" w:eastAsia="宋体" w:cs="宋体"/>
          <w:sz w:val="24"/>
          <w:szCs w:val="24"/>
        </w:rPr>
        <w:t xml:space="preserve">使用 </w:t>
      </w:r>
      <w:r>
        <w:rPr>
          <w:rFonts w:ascii="宋体" w:hAnsi="宋体" w:eastAsia="宋体" w:cs="宋体"/>
          <w:color w:val="FF0000"/>
          <w:sz w:val="24"/>
          <w:szCs w:val="24"/>
        </w:rPr>
        <w:t xml:space="preserve">IEDB Class I Immunogenicity </w:t>
      </w:r>
      <w:r>
        <w:rPr>
          <w:rFonts w:ascii="宋体" w:hAnsi="宋体" w:eastAsia="宋体" w:cs="宋体"/>
          <w:sz w:val="24"/>
          <w:szCs w:val="24"/>
        </w:rPr>
        <w:t>服务器</w:t>
      </w:r>
      <w:r>
        <w:rPr>
          <w:rFonts w:hint="eastAsia" w:ascii="宋体" w:hAnsi="宋体" w:eastAsia="宋体" w:cs="宋体"/>
          <w:sz w:val="24"/>
          <w:szCs w:val="24"/>
          <w:lang w:eastAsia="zh-CN"/>
        </w:rPr>
        <w:t>（http://tools.iedb.org/immunogenicity/）</w:t>
      </w:r>
      <w:r>
        <w:rPr>
          <w:rFonts w:ascii="宋体" w:hAnsi="宋体" w:eastAsia="宋体" w:cs="宋体"/>
          <w:sz w:val="24"/>
          <w:szCs w:val="24"/>
        </w:rPr>
        <w:t>预测候选蛋白的免疫原性，</w:t>
      </w:r>
      <w:r>
        <w:rPr>
          <w:rFonts w:hint="eastAsia" w:ascii="宋体" w:hAnsi="宋体" w:eastAsia="宋体" w:cs="宋体"/>
          <w:sz w:val="24"/>
          <w:szCs w:val="24"/>
          <w:lang w:val="en-US" w:eastAsia="zh-CN"/>
        </w:rPr>
        <w:t>submit后查看得分，</w:t>
      </w:r>
      <w:r>
        <w:rPr>
          <w:rFonts w:ascii="宋体" w:hAnsi="宋体" w:eastAsia="宋体" w:cs="宋体"/>
          <w:sz w:val="24"/>
          <w:szCs w:val="24"/>
        </w:rPr>
        <w:t>筛选阈值</w:t>
      </w:r>
      <w:r>
        <w:rPr>
          <w:rFonts w:hint="eastAsia" w:ascii="宋体" w:hAnsi="宋体" w:eastAsia="宋体" w:cs="宋体"/>
          <w:sz w:val="24"/>
          <w:szCs w:val="24"/>
          <w:lang w:val="en-US" w:eastAsia="zh-CN"/>
        </w:rPr>
        <w:t>为</w:t>
      </w:r>
      <w:r>
        <w:rPr>
          <w:rFonts w:ascii="宋体" w:hAnsi="宋体" w:eastAsia="宋体" w:cs="宋体"/>
          <w:color w:val="FF0000"/>
          <w:sz w:val="24"/>
          <w:szCs w:val="24"/>
        </w:rPr>
        <w:t>0.5</w:t>
      </w:r>
      <w:r>
        <w:rPr>
          <w:rFonts w:ascii="宋体" w:hAnsi="宋体" w:eastAsia="宋体" w:cs="宋体"/>
          <w:sz w:val="24"/>
          <w:szCs w:val="24"/>
        </w:rPr>
        <w:t>；</w:t>
      </w:r>
    </w:p>
    <w:p>
      <w:pPr>
        <w:keepNext w:val="0"/>
        <w:keepLines w:val="0"/>
        <w:pageBreakBefore w:val="0"/>
        <w:widowControl w:val="0"/>
        <w:numPr>
          <w:ilvl w:val="0"/>
          <w:numId w:val="0"/>
        </w:numPr>
        <w:kinsoku/>
        <w:wordWrap w:val="0"/>
        <w:overflowPunct/>
        <w:topLinePunct w:val="0"/>
        <w:autoSpaceDE/>
        <w:autoSpaceDN/>
        <w:bidi w:val="0"/>
        <w:adjustRightInd/>
        <w:snapToGrid/>
        <w:jc w:val="center"/>
        <w:textAlignment w:val="auto"/>
      </w:pPr>
      <w:r>
        <w:drawing>
          <wp:inline distT="0" distB="0" distL="114300" distR="114300">
            <wp:extent cx="5269865" cy="2615565"/>
            <wp:effectExtent l="0" t="0" r="3175" b="571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5"/>
                    <a:stretch>
                      <a:fillRect/>
                    </a:stretch>
                  </pic:blipFill>
                  <pic:spPr>
                    <a:xfrm>
                      <a:off x="0" y="0"/>
                      <a:ext cx="5269865" cy="2615565"/>
                    </a:xfrm>
                    <a:prstGeom prst="rect">
                      <a:avLst/>
                    </a:prstGeom>
                    <a:noFill/>
                    <a:ln>
                      <a:noFill/>
                    </a:ln>
                  </pic:spPr>
                </pic:pic>
              </a:graphicData>
            </a:graphic>
          </wp:inline>
        </w:drawing>
      </w:r>
    </w:p>
    <w:p>
      <w:pPr>
        <w:keepNext w:val="0"/>
        <w:keepLines w:val="0"/>
        <w:pageBreakBefore w:val="0"/>
        <w:widowControl w:val="0"/>
        <w:numPr>
          <w:ilvl w:val="0"/>
          <w:numId w:val="0"/>
        </w:numPr>
        <w:kinsoku/>
        <w:wordWrap w:val="0"/>
        <w:overflowPunct/>
        <w:topLinePunct w:val="0"/>
        <w:autoSpaceDE/>
        <w:autoSpaceDN/>
        <w:bidi w:val="0"/>
        <w:adjustRightInd/>
        <w:snapToGrid/>
        <w:jc w:val="center"/>
        <w:textAlignment w:val="auto"/>
      </w:pPr>
      <w:r>
        <w:drawing>
          <wp:inline distT="0" distB="0" distL="114300" distR="114300">
            <wp:extent cx="4335780" cy="1965960"/>
            <wp:effectExtent l="0" t="0" r="762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4335780" cy="1965960"/>
                    </a:xfrm>
                    <a:prstGeom prst="rect">
                      <a:avLst/>
                    </a:prstGeom>
                    <a:noFill/>
                    <a:ln>
                      <a:noFill/>
                    </a:ln>
                  </pic:spPr>
                </pic:pic>
              </a:graphicData>
            </a:graphic>
          </wp:inline>
        </w:drawing>
      </w:r>
    </w:p>
    <w:p>
      <w:r>
        <w:br w:type="page"/>
      </w:r>
    </w:p>
    <w:p>
      <w:pPr>
        <w:numPr>
          <w:ilvl w:val="0"/>
          <w:numId w:val="1"/>
        </w:numPr>
        <w:jc w:val="both"/>
        <w:rPr>
          <w:rFonts w:hint="default"/>
          <w:sz w:val="30"/>
          <w:szCs w:val="30"/>
          <w:lang w:val="en-US" w:eastAsia="zh-CN"/>
        </w:rPr>
      </w:pPr>
      <w:r>
        <w:rPr>
          <w:rFonts w:hint="eastAsia"/>
          <w:sz w:val="30"/>
          <w:szCs w:val="30"/>
          <w:lang w:val="en-US" w:eastAsia="zh-CN"/>
        </w:rPr>
        <w:t>整理候选蛋白名单，并阅读文献确定最后的抗原蛋白</w:t>
      </w:r>
    </w:p>
    <w:p>
      <w:pPr>
        <w:widowControl w:val="0"/>
        <w:numPr>
          <w:ilvl w:val="0"/>
          <w:numId w:val="5"/>
        </w:numPr>
        <w:jc w:val="both"/>
        <w:rPr>
          <w:rFonts w:hint="eastAsia" w:ascii="Times New Roman" w:hAnsi="Times New Roman" w:eastAsia="宋体" w:cs="Times New Roman"/>
          <w:b w:val="0"/>
          <w:bCs w:val="0"/>
          <w:color w:val="auto"/>
          <w:kern w:val="0"/>
          <w:sz w:val="24"/>
          <w:szCs w:val="24"/>
          <w:lang w:val="en-US" w:eastAsia="zh-CN"/>
        </w:rPr>
      </w:pPr>
      <w:r>
        <w:rPr>
          <w:rFonts w:hint="eastAsia" w:ascii="Times New Roman" w:hAnsi="Times New Roman" w:eastAsia="宋体" w:cs="Times New Roman"/>
          <w:b w:val="0"/>
          <w:bCs w:val="0"/>
          <w:color w:val="auto"/>
          <w:kern w:val="0"/>
          <w:sz w:val="24"/>
          <w:szCs w:val="24"/>
          <w:lang w:val="en-US" w:eastAsia="zh-CN"/>
        </w:rPr>
        <w:t>根据前面的性质预测，整理每项性质都达标的蛋白名单，并依次将序列在</w:t>
      </w:r>
      <w:r>
        <w:rPr>
          <w:rFonts w:hint="eastAsia" w:ascii="Times New Roman" w:hAnsi="Times New Roman" w:eastAsia="宋体" w:cs="Times New Roman"/>
          <w:b w:val="0"/>
          <w:bCs w:val="0"/>
          <w:color w:val="FF0000"/>
          <w:kern w:val="0"/>
          <w:sz w:val="24"/>
          <w:szCs w:val="24"/>
          <w:lang w:val="en-US" w:eastAsia="zh-CN"/>
        </w:rPr>
        <w:t>UniProt blast</w:t>
      </w:r>
      <w:r>
        <w:rPr>
          <w:rFonts w:hint="eastAsia" w:ascii="Times New Roman" w:hAnsi="Times New Roman" w:eastAsia="宋体" w:cs="Times New Roman"/>
          <w:b w:val="0"/>
          <w:bCs w:val="0"/>
          <w:color w:val="auto"/>
          <w:kern w:val="0"/>
          <w:sz w:val="24"/>
          <w:szCs w:val="24"/>
          <w:lang w:val="en-US" w:eastAsia="zh-CN"/>
        </w:rPr>
        <w:t>检索，确定序列对应的具体蛋白。</w:t>
      </w:r>
    </w:p>
    <w:p>
      <w:pPr>
        <w:widowControl w:val="0"/>
        <w:numPr>
          <w:ilvl w:val="0"/>
          <w:numId w:val="0"/>
        </w:numPr>
        <w:jc w:val="both"/>
      </w:pPr>
      <w:r>
        <w:drawing>
          <wp:inline distT="0" distB="0" distL="114300" distR="114300">
            <wp:extent cx="5265420" cy="1902460"/>
            <wp:effectExtent l="0" t="0" r="762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5420" cy="190246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1770" cy="1729105"/>
            <wp:effectExtent l="0" t="0" r="1270"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271770" cy="172910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1610" cy="1761490"/>
            <wp:effectExtent l="0" t="0" r="11430"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9"/>
                    <a:stretch>
                      <a:fillRect/>
                    </a:stretch>
                  </pic:blipFill>
                  <pic:spPr>
                    <a:xfrm>
                      <a:off x="0" y="0"/>
                      <a:ext cx="5261610" cy="1761490"/>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4693920" cy="2339340"/>
            <wp:effectExtent l="0" t="0" r="0"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0"/>
                    <a:stretch>
                      <a:fillRect/>
                    </a:stretch>
                  </pic:blipFill>
                  <pic:spPr>
                    <a:xfrm>
                      <a:off x="0" y="0"/>
                      <a:ext cx="4693920" cy="2339340"/>
                    </a:xfrm>
                    <a:prstGeom prst="rect">
                      <a:avLst/>
                    </a:prstGeom>
                    <a:noFill/>
                    <a:ln>
                      <a:noFill/>
                    </a:ln>
                  </pic:spPr>
                </pic:pic>
              </a:graphicData>
            </a:graphic>
          </wp:inline>
        </w:drawing>
      </w:r>
    </w:p>
    <w:p>
      <w:pPr>
        <w:widowControl w:val="0"/>
        <w:numPr>
          <w:ilvl w:val="0"/>
          <w:numId w:val="5"/>
        </w:numPr>
        <w:ind w:left="0" w:leftChars="0" w:firstLine="0" w:firstLineChars="0"/>
        <w:jc w:val="both"/>
        <w:rPr>
          <w:rFonts w:hint="eastAsia"/>
          <w:lang w:val="en-US" w:eastAsia="zh-CN"/>
        </w:rPr>
      </w:pPr>
      <w:r>
        <w:rPr>
          <w:rFonts w:hint="eastAsia"/>
          <w:lang w:val="en-US" w:eastAsia="zh-CN"/>
        </w:rPr>
        <w:t>将得到的候选蛋白检索相关的文章，查看是否具有免疫潜力。以上图中的几项蛋白为例，经过阅读</w:t>
      </w:r>
      <w:r>
        <w:rPr>
          <w:rFonts w:hint="eastAsia"/>
          <w:color w:val="FF0000"/>
          <w:lang w:val="en-US" w:eastAsia="zh-CN"/>
        </w:rPr>
        <w:t>BamA和TolC</w:t>
      </w:r>
      <w:r>
        <w:rPr>
          <w:rFonts w:hint="eastAsia"/>
          <w:lang w:val="en-US" w:eastAsia="zh-CN"/>
        </w:rPr>
        <w:t>曾被其他研究人员以其他方式分析认为具有作为某几种弧菌的潜力，结合我们的分析，认为该两个蛋白具备作为广谱性抗原的潜力，因此确定两个蛋白为最后的抗原蛋白。（下面列出相关的两篇报道）</w:t>
      </w:r>
    </w:p>
    <w:p>
      <w:pPr>
        <w:widowControl w:val="0"/>
        <w:numPr>
          <w:ilvl w:val="0"/>
          <w:numId w:val="0"/>
        </w:numPr>
        <w:jc w:val="both"/>
      </w:pPr>
      <w:r>
        <w:drawing>
          <wp:inline distT="0" distB="0" distL="114300" distR="114300">
            <wp:extent cx="5274310" cy="2701925"/>
            <wp:effectExtent l="0" t="0" r="13970" b="1079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1"/>
                    <a:stretch>
                      <a:fillRect/>
                    </a:stretch>
                  </pic:blipFill>
                  <pic:spPr>
                    <a:xfrm>
                      <a:off x="0" y="0"/>
                      <a:ext cx="5274310" cy="270192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67960" cy="2049780"/>
            <wp:effectExtent l="0" t="0" r="5080" b="762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2"/>
                    <a:stretch>
                      <a:fillRect/>
                    </a:stretch>
                  </pic:blipFill>
                  <pic:spPr>
                    <a:xfrm>
                      <a:off x="0" y="0"/>
                      <a:ext cx="5267960" cy="2049780"/>
                    </a:xfrm>
                    <a:prstGeom prst="rect">
                      <a:avLst/>
                    </a:prstGeom>
                    <a:noFill/>
                    <a:ln>
                      <a:noFill/>
                    </a:ln>
                  </pic:spPr>
                </pic:pic>
              </a:graphicData>
            </a:graphic>
          </wp:inline>
        </w:drawing>
      </w:r>
    </w:p>
    <w:p>
      <w:r>
        <w:br w:type="page"/>
      </w:r>
    </w:p>
    <w:p>
      <w:pPr>
        <w:widowControl w:val="0"/>
        <w:numPr>
          <w:ilvl w:val="0"/>
          <w:numId w:val="0"/>
        </w:numPr>
        <w:jc w:val="left"/>
        <w:rPr>
          <w:rFonts w:hint="eastAsia"/>
          <w:color w:val="auto"/>
          <w:highlight w:val="cyan"/>
          <w:lang w:val="en-US" w:eastAsia="zh-CN"/>
        </w:rPr>
      </w:pPr>
    </w:p>
    <w:p>
      <w:pPr>
        <w:widowControl w:val="0"/>
        <w:numPr>
          <w:ilvl w:val="0"/>
          <w:numId w:val="0"/>
        </w:numPr>
        <w:jc w:val="center"/>
        <w:rPr>
          <w:rFonts w:hint="eastAsia"/>
          <w:color w:val="auto"/>
          <w:highlight w:val="cyan"/>
          <w:lang w:val="en-US" w:eastAsia="zh-CN"/>
        </w:rPr>
      </w:pPr>
      <w:r>
        <w:rPr>
          <w:rFonts w:hint="eastAsia"/>
          <w:color w:val="auto"/>
          <w:highlight w:val="cyan"/>
          <w:lang w:val="en-US" w:eastAsia="zh-CN"/>
        </w:rPr>
        <w:t>本章寄语</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至此我们已经将得到的1221个同源蛋白从四个方面进行了抗原潜力的预测分析，并得到了10个候选蛋白，结合文献确定了BamA与TolC两个蛋白进行下一步的抗原表位预测，下一章我们将寻找究竟是两个蛋白中的哪几段序列发挥着关键的免疫作用？</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color w:val="auto"/>
          <w:highlight w:val="none"/>
          <w:lang w:val="en-US" w:eastAsia="zh-CN"/>
        </w:rPr>
      </w:pPr>
      <w:r>
        <w:rPr>
          <w:rFonts w:hint="eastAsia"/>
          <w:color w:val="auto"/>
          <w:highlight w:val="none"/>
          <w:lang w:val="en-US" w:eastAsia="zh-CN"/>
        </w:rPr>
        <w:t>上一章节中我们在</w:t>
      </w:r>
      <w:r>
        <w:rPr>
          <w:rFonts w:hint="eastAsia"/>
          <w:color w:val="FF0000"/>
          <w:highlight w:val="none"/>
          <w:lang w:val="en-US" w:eastAsia="zh-CN"/>
        </w:rPr>
        <w:t>70%的阈值</w:t>
      </w:r>
      <w:r>
        <w:rPr>
          <w:rFonts w:hint="eastAsia"/>
          <w:color w:val="auto"/>
          <w:highlight w:val="none"/>
          <w:lang w:val="en-US" w:eastAsia="zh-CN"/>
        </w:rPr>
        <w:t>下得到了1221个同源蛋白，这是一个相对较大的数量，因此理论上应该会出现像BamA与TolC这样各个方面都达标的蛋白。但如果一开始我们设置的阈值是90%，经过这一章的一轮分析还能得到这样各方面都达标的蛋白吗？这里告诉你答案是不一定，实际上我首先是在95%和90%筛选得到了两批蛋白，但在四个方面的抗原潜力预测分析后发现几乎只有2，3个合格的蛋白，并且蛋白一看就没什么潜力（像50S 核糖体蛋白 L3 ）。</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相信读到这，你可能会紧急叫停已经开始分析90%同源蛋白的组员并且痛骂我为什么不提前告诉你这点，进行这样一轮分析需要不少的时间，如果验证到最后一个蛋白却依然不理想应该是一件不太愉快的事情。好了，让我们忘掉不开心的事情，作为补偿，我</w:t>
      </w:r>
      <w:bookmarkStart w:id="0" w:name="_GoBack"/>
      <w:bookmarkEnd w:id="0"/>
      <w:r>
        <w:rPr>
          <w:rFonts w:hint="eastAsia"/>
          <w:color w:val="auto"/>
          <w:highlight w:val="none"/>
          <w:lang w:val="en-US" w:eastAsia="zh-CN"/>
        </w:rPr>
        <w:t>会分享给你们两个应对方法。</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eastAsia"/>
          <w:color w:val="auto"/>
          <w:highlight w:val="none"/>
          <w:lang w:val="en-US" w:eastAsia="zh-CN"/>
        </w:rPr>
      </w:pPr>
      <w:r>
        <w:rPr>
          <w:rFonts w:hint="eastAsia"/>
          <w:color w:val="auto"/>
          <w:highlight w:val="none"/>
          <w:lang w:val="en-US" w:eastAsia="zh-CN"/>
        </w:rPr>
        <w:t>在这里我给出当时我考虑两点对策：1.</w:t>
      </w:r>
      <w:r>
        <w:rPr>
          <w:rFonts w:hint="eastAsia"/>
          <w:color w:val="FF0000"/>
          <w:highlight w:val="none"/>
          <w:lang w:val="en-US" w:eastAsia="zh-CN"/>
        </w:rPr>
        <w:t>提高得到的同源蛋白数量</w:t>
      </w:r>
      <w:r>
        <w:rPr>
          <w:rFonts w:hint="eastAsia"/>
          <w:color w:val="auto"/>
          <w:highlight w:val="none"/>
          <w:lang w:val="en-US" w:eastAsia="zh-CN"/>
        </w:rPr>
        <w:t>，一大堆蛋白里我想应该可能会有几个合格的蛋白吧（也就是相对降低一下同源度阈值）2.</w:t>
      </w:r>
      <w:r>
        <w:rPr>
          <w:rFonts w:hint="eastAsia"/>
          <w:color w:val="FF0000"/>
          <w:highlight w:val="none"/>
          <w:lang w:val="en-US" w:eastAsia="zh-CN"/>
        </w:rPr>
        <w:t>阅读文献提前预测几个</w:t>
      </w:r>
      <w:r>
        <w:rPr>
          <w:rFonts w:hint="eastAsia"/>
          <w:color w:val="auto"/>
          <w:highlight w:val="none"/>
          <w:lang w:val="en-US" w:eastAsia="zh-CN"/>
        </w:rPr>
        <w:t>可能的蛋白，就本项工作而言，阅读文献发现外膜蛋白被认为具备较大的抗原潜力，因此我查阅了弧菌中哪些外膜蛋白有过分析报道，整理了一个可能的外膜蛋白列表，并将它们的蛋白序列与12中弧菌的蛋白质组FASTA一起在BPGA中跑了一下，阈值设置70%后发现有好几个相似度满足70%以上，之后我直接对这几个蛋白进行了本章的抗原潜力分析。所以你看这里我其实当时也留了后手，这番操作下来</w:t>
      </w:r>
      <w:r>
        <w:rPr>
          <w:rFonts w:hint="eastAsia"/>
          <w:color w:val="FF0000"/>
          <w:highlight w:val="none"/>
          <w:lang w:val="en-US" w:eastAsia="zh-CN"/>
        </w:rPr>
        <w:t>我确保了70%阈值完整做一轮分析起码不会白干</w:t>
      </w:r>
      <w:r>
        <w:rPr>
          <w:rFonts w:hint="eastAsia"/>
          <w:color w:val="auto"/>
          <w:highlight w:val="none"/>
          <w:lang w:val="en-US" w:eastAsia="zh-CN"/>
        </w:rPr>
        <w:t>，剩下的就是期待有其他合格的蛋白涌现。</w:t>
      </w:r>
    </w:p>
    <w:p>
      <w:pPr>
        <w:keepNext w:val="0"/>
        <w:keepLines w:val="0"/>
        <w:pageBreakBefore w:val="0"/>
        <w:widowControl w:val="0"/>
        <w:numPr>
          <w:ilvl w:val="0"/>
          <w:numId w:val="0"/>
        </w:numPr>
        <w:kinsoku/>
        <w:wordWrap/>
        <w:overflowPunct/>
        <w:topLinePunct w:val="0"/>
        <w:autoSpaceDE/>
        <w:autoSpaceDN/>
        <w:bidi w:val="0"/>
        <w:adjustRightInd w:val="0"/>
        <w:snapToGrid/>
        <w:ind w:firstLine="420" w:firstLineChars="200"/>
        <w:jc w:val="left"/>
        <w:textAlignment w:val="auto"/>
        <w:rPr>
          <w:rFonts w:hint="default"/>
          <w:color w:val="auto"/>
          <w:highlight w:val="none"/>
          <w:lang w:val="en-US" w:eastAsia="zh-CN"/>
        </w:rPr>
      </w:pPr>
      <w:r>
        <w:rPr>
          <w:rFonts w:hint="eastAsia"/>
          <w:color w:val="auto"/>
          <w:highlight w:val="none"/>
          <w:lang w:val="en-US" w:eastAsia="zh-CN"/>
        </w:rPr>
        <w:t>（当然也期待你们头脑风暴，想出更科学高效的“锦囊妙计”）</w:t>
      </w:r>
    </w:p>
    <w:p>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唐僧洗发用飘柔" w:date="2024-06-23T16:33:19Z" w:initials="">
    <w:p w14:paraId="0887652F">
      <w:pPr>
        <w:pStyle w:val="2"/>
        <w:rPr>
          <w:rFonts w:hint="default" w:eastAsiaTheme="minorEastAsia"/>
          <w:lang w:val="en-US" w:eastAsia="zh-CN"/>
        </w:rPr>
      </w:pPr>
      <w:r>
        <w:rPr>
          <w:rFonts w:hint="eastAsia"/>
          <w:lang w:val="en-US" w:eastAsia="zh-CN"/>
        </w:rPr>
        <w:t>鞭毛相关的蛋白这个程序输出结果会有标识</w:t>
      </w:r>
    </w:p>
  </w:comment>
  <w:comment w:id="0" w:author="唐僧洗发用飘柔" w:date="2024-06-23T16:31:22Z" w:initials="">
    <w:p w14:paraId="00F15E91">
      <w:pPr>
        <w:pStyle w:val="2"/>
        <w:rPr>
          <w:rFonts w:hint="default" w:eastAsiaTheme="minorEastAsia"/>
          <w:lang w:val="en-US" w:eastAsia="zh-CN"/>
        </w:rPr>
      </w:pPr>
      <w:r>
        <w:rPr>
          <w:rFonts w:hint="eastAsia"/>
          <w:lang w:val="en-US" w:eastAsia="zh-CN"/>
        </w:rPr>
        <w:t>阅读文献这几类蛋白潜力较大</w:t>
      </w:r>
    </w:p>
  </w:comment>
  <w:comment w:id="2" w:author="唐僧洗发用飘柔" w:date="2024-06-24T00:57:22Z" w:initials="">
    <w:p w14:paraId="22F43E4C">
      <w:pPr>
        <w:pStyle w:val="2"/>
        <w:rPr>
          <w:rFonts w:hint="default" w:eastAsiaTheme="minorEastAsia"/>
          <w:lang w:val="en-US" w:eastAsia="zh-CN"/>
        </w:rPr>
      </w:pPr>
      <w:r>
        <w:rPr>
          <w:rFonts w:hint="eastAsia"/>
          <w:lang w:val="en-US" w:eastAsia="zh-CN"/>
        </w:rPr>
        <w:t>其中跨膜螺旋数多的话不利于原核表达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87652F" w15:done="0"/>
  <w15:commentEx w15:paraId="00F15E91" w15:done="0"/>
  <w15:commentEx w15:paraId="22F43E4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DBE13B"/>
    <w:multiLevelType w:val="singleLevel"/>
    <w:tmpl w:val="C8DBE13B"/>
    <w:lvl w:ilvl="0" w:tentative="0">
      <w:start w:val="1"/>
      <w:numFmt w:val="decimal"/>
      <w:lvlText w:val="%1."/>
      <w:lvlJc w:val="left"/>
      <w:pPr>
        <w:tabs>
          <w:tab w:val="left" w:pos="312"/>
        </w:tabs>
      </w:pPr>
    </w:lvl>
  </w:abstractNum>
  <w:abstractNum w:abstractNumId="1">
    <w:nsid w:val="D3175804"/>
    <w:multiLevelType w:val="singleLevel"/>
    <w:tmpl w:val="D3175804"/>
    <w:lvl w:ilvl="0" w:tentative="0">
      <w:start w:val="1"/>
      <w:numFmt w:val="decimal"/>
      <w:lvlText w:val="%1."/>
      <w:lvlJc w:val="left"/>
      <w:pPr>
        <w:tabs>
          <w:tab w:val="left" w:pos="312"/>
        </w:tabs>
      </w:pPr>
    </w:lvl>
  </w:abstractNum>
  <w:abstractNum w:abstractNumId="2">
    <w:nsid w:val="DCEEC52E"/>
    <w:multiLevelType w:val="singleLevel"/>
    <w:tmpl w:val="DCEEC52E"/>
    <w:lvl w:ilvl="0" w:tentative="0">
      <w:start w:val="1"/>
      <w:numFmt w:val="chineseCounting"/>
      <w:suff w:val="nothing"/>
      <w:lvlText w:val="%1．"/>
      <w:lvlJc w:val="left"/>
      <w:rPr>
        <w:rFonts w:hint="eastAsia"/>
      </w:rPr>
    </w:lvl>
  </w:abstractNum>
  <w:abstractNum w:abstractNumId="3">
    <w:nsid w:val="3DDA7F94"/>
    <w:multiLevelType w:val="singleLevel"/>
    <w:tmpl w:val="3DDA7F94"/>
    <w:lvl w:ilvl="0" w:tentative="0">
      <w:start w:val="1"/>
      <w:numFmt w:val="decimal"/>
      <w:lvlText w:val="%1."/>
      <w:lvlJc w:val="left"/>
      <w:pPr>
        <w:tabs>
          <w:tab w:val="left" w:pos="312"/>
        </w:tabs>
      </w:pPr>
    </w:lvl>
  </w:abstractNum>
  <w:abstractNum w:abstractNumId="4">
    <w:nsid w:val="43CF5272"/>
    <w:multiLevelType w:val="singleLevel"/>
    <w:tmpl w:val="43CF5272"/>
    <w:lvl w:ilvl="0" w:tentative="0">
      <w:start w:val="1"/>
      <w:numFmt w:val="decimal"/>
      <w:lvlText w:val="%1."/>
      <w:lvlJc w:val="left"/>
      <w:pPr>
        <w:tabs>
          <w:tab w:val="left" w:pos="312"/>
        </w:tabs>
      </w:pPr>
    </w:lvl>
  </w:abstractNum>
  <w:num w:numId="1">
    <w:abstractNumId w:val="2"/>
  </w:num>
  <w:num w:numId="2">
    <w:abstractNumId w:val="3"/>
  </w:num>
  <w:num w:numId="3">
    <w:abstractNumId w:val="4"/>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僧洗发用飘柔">
    <w15:presenceInfo w15:providerId="WPS Office" w15:userId="6438134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2MDk1MWY1ODJjMTE5OTgxNmQ5OTc1MjVhMTc0MTcifQ=="/>
  </w:docVars>
  <w:rsids>
    <w:rsidRoot w:val="00000000"/>
    <w:rsid w:val="1BFF51AB"/>
    <w:rsid w:val="224416FF"/>
    <w:rsid w:val="351B554E"/>
    <w:rsid w:val="3E8921AA"/>
    <w:rsid w:val="5026261F"/>
    <w:rsid w:val="54D9517B"/>
    <w:rsid w:val="634863E4"/>
    <w:rsid w:val="6FEF1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character" w:styleId="5">
    <w:name w:val="FollowedHyperlink"/>
    <w:basedOn w:val="4"/>
    <w:qFormat/>
    <w:uiPriority w:val="0"/>
    <w:rPr>
      <w:color w:val="800080"/>
      <w:u w:val="single"/>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1679</Words>
  <Characters>2103</Characters>
  <Lines>0</Lines>
  <Paragraphs>0</Paragraphs>
  <TotalTime>115</TotalTime>
  <ScaleCrop>false</ScaleCrop>
  <LinksUpToDate>false</LinksUpToDate>
  <CharactersWithSpaces>2117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2024-06-23T07:30:00Z</dcterms:created>
  <dc:creator>yh</dc:creator>
  <cp:lastModifiedBy>唐僧洗发用飘柔</cp:lastModifiedBy>
  <dcterms:modified xsi:type="dcterms:W3CDTF">2024-06-26T04:19:27Z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088BC2BA3C0E4B748D42FBB987FEB10C_12</vt:lpwstr>
  </property>
</Properties>
</file>