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117C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一级结构理化性质结果</w:t>
      </w:r>
    </w:p>
    <w:p w14:paraId="7452766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服务器分析结果比较复杂，根据稳定性，免疫潜力，安全性总结相应的预测值即可。</w:t>
      </w:r>
    </w:p>
    <w:p w14:paraId="66B6BCC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2" w:firstLineChars="200"/>
        <w:jc w:val="center"/>
        <w:textAlignment w:val="auto"/>
        <w:rPr>
          <w:rFonts w:hint="default" w:ascii="Times New Roman" w:hAnsi="Times New Roman" w:cs="Times New Roman"/>
          <w:b/>
          <w:bCs/>
          <w:sz w:val="20"/>
          <w:szCs w:val="20"/>
          <w:lang w:val="en-US" w:eastAsia="zh-CN"/>
        </w:rPr>
      </w:pPr>
      <w:bookmarkStart w:id="0" w:name="_Ref9875"/>
      <w:r>
        <w:rPr>
          <w:rFonts w:hint="default" w:ascii="Times New Roman" w:hAnsi="Times New Roman" w:cs="Times New Roman"/>
          <w:b/>
          <w:bCs/>
          <w:sz w:val="20"/>
          <w:szCs w:val="20"/>
          <w:lang w:val="en-US" w:eastAsia="zh-CN"/>
        </w:rPr>
        <w:t>表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 w:eastAsia="zh-CN"/>
        </w:rPr>
        <w:instrText xml:space="preserve"> SEQ 表 \* ARABIC </w:instrText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 w:eastAsia="zh-CN"/>
        </w:rPr>
        <w:t>7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 w:eastAsia="zh-CN"/>
        </w:rPr>
        <w:fldChar w:fldCharType="end"/>
      </w:r>
      <w:bookmarkEnd w:id="0"/>
      <w:r>
        <w:rPr>
          <w:rFonts w:hint="default" w:ascii="Times New Roman" w:hAnsi="Times New Roman" w:cs="Times New Roman"/>
          <w:b/>
          <w:bCs/>
          <w:sz w:val="20"/>
          <w:szCs w:val="20"/>
          <w:lang w:val="en-US" w:eastAsia="zh-CN"/>
        </w:rPr>
        <w:t xml:space="preserve"> 多表位重组抗原理化性质分析结果</w:t>
      </w:r>
    </w:p>
    <w:tbl>
      <w:tblPr>
        <w:tblStyle w:val="4"/>
        <w:tblpPr w:leftFromText="180" w:rightFromText="180" w:vertAnchor="text" w:horzAnchor="page" w:tblpXSpec="center" w:tblpY="2"/>
        <w:tblOverlap w:val="never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2592"/>
        <w:gridCol w:w="2490"/>
        <w:gridCol w:w="1491"/>
      </w:tblGrid>
      <w:tr w14:paraId="42CE3D5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1144" w:type="dxa"/>
            <w:tcBorders>
              <w:bottom w:val="single" w:color="auto" w:sz="8" w:space="0"/>
              <w:tl2br w:val="nil"/>
              <w:tr2bl w:val="nil"/>
            </w:tcBorders>
            <w:vAlign w:val="center"/>
          </w:tcPr>
          <w:p w14:paraId="5B77AE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  <w:t>性能</w:t>
            </w:r>
          </w:p>
        </w:tc>
        <w:tc>
          <w:tcPr>
            <w:tcW w:w="2592" w:type="dxa"/>
            <w:tcBorders>
              <w:bottom w:val="single" w:color="auto" w:sz="8" w:space="0"/>
              <w:tl2br w:val="nil"/>
              <w:tr2bl w:val="nil"/>
            </w:tcBorders>
            <w:vAlign w:val="center"/>
          </w:tcPr>
          <w:p w14:paraId="6287C2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  <w:t>参数</w:t>
            </w:r>
          </w:p>
        </w:tc>
        <w:tc>
          <w:tcPr>
            <w:tcW w:w="2490" w:type="dxa"/>
            <w:tcBorders>
              <w:bottom w:val="single" w:color="auto" w:sz="8" w:space="0"/>
              <w:tl2br w:val="nil"/>
              <w:tr2bl w:val="nil"/>
            </w:tcBorders>
            <w:vAlign w:val="center"/>
          </w:tcPr>
          <w:p w14:paraId="234443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  <w:t>预测服务器</w:t>
            </w:r>
          </w:p>
        </w:tc>
        <w:tc>
          <w:tcPr>
            <w:tcW w:w="1491" w:type="dxa"/>
            <w:tcBorders>
              <w:bottom w:val="single" w:color="auto" w:sz="8" w:space="0"/>
              <w:tl2br w:val="nil"/>
              <w:tr2bl w:val="nil"/>
            </w:tcBorders>
            <w:vAlign w:val="center"/>
          </w:tcPr>
          <w:p w14:paraId="44609D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  <w:t>预测结果</w:t>
            </w:r>
          </w:p>
        </w:tc>
      </w:tr>
      <w:tr w14:paraId="335BDD4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764FA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稳定性</w:t>
            </w:r>
          </w:p>
        </w:tc>
        <w:tc>
          <w:tcPr>
            <w:tcW w:w="2592" w:type="dxa"/>
            <w:tcBorders>
              <w:tl2br w:val="nil"/>
              <w:tr2bl w:val="nil"/>
            </w:tcBorders>
            <w:vAlign w:val="center"/>
          </w:tcPr>
          <w:p w14:paraId="4D57A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  <w:t>不稳定指数（II）</w:t>
            </w:r>
          </w:p>
        </w:tc>
        <w:tc>
          <w:tcPr>
            <w:tcW w:w="2490" w:type="dxa"/>
            <w:tcBorders>
              <w:tl2br w:val="nil"/>
              <w:tr2bl w:val="nil"/>
            </w:tcBorders>
            <w:vAlign w:val="center"/>
          </w:tcPr>
          <w:p w14:paraId="3DFF7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0"/>
                <w:szCs w:val="20"/>
                <w:lang w:val="en-US" w:eastAsia="zh-CN"/>
              </w:rPr>
              <w:t>ProtParam</w:t>
            </w:r>
          </w:p>
        </w:tc>
        <w:tc>
          <w:tcPr>
            <w:tcW w:w="1491" w:type="dxa"/>
            <w:tcBorders>
              <w:tl2br w:val="nil"/>
              <w:tr2bl w:val="nil"/>
            </w:tcBorders>
            <w:vAlign w:val="center"/>
          </w:tcPr>
          <w:p w14:paraId="7BCAC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  <w:t>30.05</w:t>
            </w:r>
          </w:p>
        </w:tc>
      </w:tr>
      <w:tr w14:paraId="65B8716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1C713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592" w:type="dxa"/>
            <w:tcBorders>
              <w:tl2br w:val="nil"/>
              <w:tr2bl w:val="nil"/>
            </w:tcBorders>
            <w:vAlign w:val="center"/>
          </w:tcPr>
          <w:p w14:paraId="7DBEE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  <w:t>脂肪族指数为75.06</w:t>
            </w:r>
          </w:p>
        </w:tc>
        <w:tc>
          <w:tcPr>
            <w:tcW w:w="2490" w:type="dxa"/>
            <w:tcBorders>
              <w:tl2br w:val="nil"/>
              <w:tr2bl w:val="nil"/>
            </w:tcBorders>
            <w:vAlign w:val="center"/>
          </w:tcPr>
          <w:p w14:paraId="176EF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0"/>
                <w:szCs w:val="20"/>
                <w:lang w:val="en-US" w:eastAsia="zh-CN"/>
              </w:rPr>
              <w:t>ProtParam</w:t>
            </w:r>
          </w:p>
        </w:tc>
        <w:tc>
          <w:tcPr>
            <w:tcW w:w="1491" w:type="dxa"/>
            <w:tcBorders>
              <w:tl2br w:val="nil"/>
              <w:tr2bl w:val="nil"/>
            </w:tcBorders>
            <w:vAlign w:val="center"/>
          </w:tcPr>
          <w:p w14:paraId="51100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  <w:t>75.06</w:t>
            </w:r>
          </w:p>
        </w:tc>
      </w:tr>
      <w:tr w14:paraId="618DE88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98DE7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592" w:type="dxa"/>
            <w:tcBorders>
              <w:tl2br w:val="nil"/>
              <w:tr2bl w:val="nil"/>
            </w:tcBorders>
            <w:vAlign w:val="center"/>
          </w:tcPr>
          <w:p w14:paraId="774A9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  <w:t>亲水性总平均值(GRAVY)</w:t>
            </w:r>
          </w:p>
        </w:tc>
        <w:tc>
          <w:tcPr>
            <w:tcW w:w="2490" w:type="dxa"/>
            <w:tcBorders>
              <w:tl2br w:val="nil"/>
              <w:tr2bl w:val="nil"/>
            </w:tcBorders>
            <w:vAlign w:val="center"/>
          </w:tcPr>
          <w:p w14:paraId="5485E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0"/>
                <w:szCs w:val="20"/>
                <w:lang w:val="en-US" w:eastAsia="zh-CN"/>
              </w:rPr>
              <w:t>ProtParam</w:t>
            </w:r>
          </w:p>
        </w:tc>
        <w:tc>
          <w:tcPr>
            <w:tcW w:w="1491" w:type="dxa"/>
            <w:tcBorders>
              <w:tl2br w:val="nil"/>
              <w:tr2bl w:val="nil"/>
            </w:tcBorders>
            <w:vAlign w:val="center"/>
          </w:tcPr>
          <w:p w14:paraId="18DAD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  <w:t>-0.428</w:t>
            </w:r>
          </w:p>
        </w:tc>
      </w:tr>
      <w:tr w14:paraId="0399945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05E3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592" w:type="dxa"/>
            <w:tcBorders>
              <w:tl2br w:val="nil"/>
              <w:tr2bl w:val="nil"/>
            </w:tcBorders>
            <w:vAlign w:val="center"/>
          </w:tcPr>
          <w:p w14:paraId="241B1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  <w:t>跨膜螺旋数</w:t>
            </w:r>
          </w:p>
        </w:tc>
        <w:tc>
          <w:tcPr>
            <w:tcW w:w="2490" w:type="dxa"/>
            <w:tcBorders>
              <w:tl2br w:val="nil"/>
              <w:tr2bl w:val="nil"/>
            </w:tcBorders>
            <w:vAlign w:val="center"/>
          </w:tcPr>
          <w:p w14:paraId="120C2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0"/>
                <w:szCs w:val="20"/>
                <w:lang w:val="en-US" w:eastAsia="zh-CN"/>
              </w:rPr>
              <w:t>TMHMM-2.0</w:t>
            </w:r>
          </w:p>
        </w:tc>
        <w:tc>
          <w:tcPr>
            <w:tcW w:w="1491" w:type="dxa"/>
            <w:tcBorders>
              <w:tl2br w:val="nil"/>
              <w:tr2bl w:val="nil"/>
            </w:tcBorders>
            <w:vAlign w:val="center"/>
          </w:tcPr>
          <w:p w14:paraId="0B494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  <w:t>0</w:t>
            </w:r>
          </w:p>
        </w:tc>
      </w:tr>
      <w:tr w14:paraId="331A037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8442A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592" w:type="dxa"/>
            <w:tcBorders>
              <w:tl2br w:val="nil"/>
              <w:tr2bl w:val="nil"/>
            </w:tcBorders>
            <w:vAlign w:val="center"/>
          </w:tcPr>
          <w:p w14:paraId="64355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过表达可溶性概率（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E.coli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）</w:t>
            </w:r>
          </w:p>
        </w:tc>
        <w:tc>
          <w:tcPr>
            <w:tcW w:w="2490" w:type="dxa"/>
            <w:tcBorders>
              <w:tl2br w:val="nil"/>
              <w:tr2bl w:val="nil"/>
            </w:tcBorders>
            <w:vAlign w:val="center"/>
          </w:tcPr>
          <w:p w14:paraId="1C0D8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  <w:t>SQLpro</w:t>
            </w:r>
          </w:p>
        </w:tc>
        <w:tc>
          <w:tcPr>
            <w:tcW w:w="1491" w:type="dxa"/>
            <w:tcBorders>
              <w:tl2br w:val="nil"/>
              <w:tr2bl w:val="nil"/>
            </w:tcBorders>
            <w:vAlign w:val="center"/>
          </w:tcPr>
          <w:p w14:paraId="48B02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lang w:val="en-US" w:eastAsia="zh-CN"/>
              </w:rPr>
              <w:t>0.63</w:t>
            </w:r>
          </w:p>
        </w:tc>
      </w:tr>
      <w:tr w14:paraId="2639EE1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9B4F9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免疫潜力</w:t>
            </w:r>
          </w:p>
        </w:tc>
        <w:tc>
          <w:tcPr>
            <w:tcW w:w="2592" w:type="dxa"/>
            <w:tcBorders>
              <w:tl2br w:val="nil"/>
              <w:tr2bl w:val="nil"/>
            </w:tcBorders>
            <w:vAlign w:val="center"/>
          </w:tcPr>
          <w:p w14:paraId="24060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抗原性</w:t>
            </w:r>
          </w:p>
        </w:tc>
        <w:tc>
          <w:tcPr>
            <w:tcW w:w="2490" w:type="dxa"/>
            <w:tcBorders>
              <w:tl2br w:val="nil"/>
              <w:tr2bl w:val="nil"/>
            </w:tcBorders>
            <w:vAlign w:val="center"/>
          </w:tcPr>
          <w:p w14:paraId="45C90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VaxiJen v2.0/AntigenPro</w:t>
            </w:r>
          </w:p>
        </w:tc>
        <w:tc>
          <w:tcPr>
            <w:tcW w:w="1491" w:type="dxa"/>
            <w:tcBorders>
              <w:tl2br w:val="nil"/>
              <w:tr2bl w:val="nil"/>
            </w:tcBorders>
            <w:vAlign w:val="center"/>
          </w:tcPr>
          <w:p w14:paraId="54A50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0.621/0.9278</w:t>
            </w:r>
          </w:p>
        </w:tc>
      </w:tr>
      <w:tr w14:paraId="09E3827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49C33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592" w:type="dxa"/>
            <w:tcBorders>
              <w:tl2br w:val="nil"/>
              <w:tr2bl w:val="nil"/>
            </w:tcBorders>
            <w:vAlign w:val="center"/>
          </w:tcPr>
          <w:p w14:paraId="06F0E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免疫原性</w:t>
            </w:r>
          </w:p>
        </w:tc>
        <w:tc>
          <w:tcPr>
            <w:tcW w:w="2490" w:type="dxa"/>
            <w:tcBorders>
              <w:tl2br w:val="nil"/>
              <w:tr2bl w:val="nil"/>
            </w:tcBorders>
            <w:vAlign w:val="center"/>
          </w:tcPr>
          <w:p w14:paraId="68EAA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IEDB</w:t>
            </w:r>
          </w:p>
        </w:tc>
        <w:tc>
          <w:tcPr>
            <w:tcW w:w="1491" w:type="dxa"/>
            <w:tcBorders>
              <w:tl2br w:val="nil"/>
              <w:tr2bl w:val="nil"/>
            </w:tcBorders>
            <w:vAlign w:val="center"/>
          </w:tcPr>
          <w:p w14:paraId="4879E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3.480</w:t>
            </w:r>
          </w:p>
        </w:tc>
      </w:tr>
      <w:tr w14:paraId="6504130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102E61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安全性</w:t>
            </w:r>
          </w:p>
        </w:tc>
        <w:tc>
          <w:tcPr>
            <w:tcW w:w="2592" w:type="dxa"/>
            <w:tcBorders>
              <w:tl2br w:val="nil"/>
              <w:tr2bl w:val="nil"/>
            </w:tcBorders>
            <w:vAlign w:val="center"/>
          </w:tcPr>
          <w:p w14:paraId="32E7D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毒性</w:t>
            </w:r>
          </w:p>
        </w:tc>
        <w:tc>
          <w:tcPr>
            <w:tcW w:w="2490" w:type="dxa"/>
            <w:tcBorders>
              <w:tl2br w:val="nil"/>
              <w:tr2bl w:val="nil"/>
            </w:tcBorders>
            <w:vAlign w:val="center"/>
          </w:tcPr>
          <w:p w14:paraId="55E86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ToxinPred</w:t>
            </w:r>
          </w:p>
        </w:tc>
        <w:tc>
          <w:tcPr>
            <w:tcW w:w="1491" w:type="dxa"/>
            <w:tcBorders>
              <w:tl2br w:val="nil"/>
              <w:tr2bl w:val="nil"/>
            </w:tcBorders>
            <w:vAlign w:val="center"/>
          </w:tcPr>
          <w:p w14:paraId="5D6F4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无毒</w:t>
            </w:r>
          </w:p>
        </w:tc>
      </w:tr>
      <w:tr w14:paraId="5F3605D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4D2DF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2592" w:type="dxa"/>
            <w:tcBorders>
              <w:tl2br w:val="nil"/>
              <w:tr2bl w:val="nil"/>
            </w:tcBorders>
            <w:vAlign w:val="center"/>
          </w:tcPr>
          <w:p w14:paraId="74206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致敏性</w:t>
            </w:r>
          </w:p>
        </w:tc>
        <w:tc>
          <w:tcPr>
            <w:tcW w:w="2490" w:type="dxa"/>
            <w:tcBorders>
              <w:tl2br w:val="nil"/>
              <w:tr2bl w:val="nil"/>
            </w:tcBorders>
            <w:vAlign w:val="center"/>
          </w:tcPr>
          <w:p w14:paraId="7807D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AllerTOP 2.0</w:t>
            </w:r>
          </w:p>
        </w:tc>
        <w:tc>
          <w:tcPr>
            <w:tcW w:w="1491" w:type="dxa"/>
            <w:tcBorders>
              <w:tl2br w:val="nil"/>
              <w:tr2bl w:val="nil"/>
            </w:tcBorders>
            <w:vAlign w:val="center"/>
          </w:tcPr>
          <w:p w14:paraId="7D5B3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>非致敏蛋白</w:t>
            </w:r>
          </w:p>
        </w:tc>
      </w:tr>
    </w:tbl>
    <w:p w14:paraId="696F1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default" w:ascii="Times New Roman" w:hAnsi="Times New Roman" w:cs="Times New Roman"/>
          <w:sz w:val="20"/>
          <w:szCs w:val="20"/>
          <w:lang w:val="en-US" w:eastAsia="zh-CN"/>
        </w:rPr>
      </w:pPr>
    </w:p>
    <w:p w14:paraId="5827D53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二级结构比例</w:t>
      </w:r>
    </w:p>
    <w:p w14:paraId="777AC3B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无规则卷曲和延伸链更具免疫潜力。</w:t>
      </w:r>
    </w:p>
    <w:p w14:paraId="1E94B77A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998720" cy="32689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80E33">
      <w:pPr>
        <w:widowControl w:val="0"/>
        <w:numPr>
          <w:numId w:val="0"/>
        </w:numPr>
        <w:jc w:val="both"/>
      </w:pPr>
    </w:p>
    <w:p w14:paraId="4B8547E6">
      <w:pPr>
        <w:widowControl w:val="0"/>
        <w:numPr>
          <w:numId w:val="0"/>
        </w:numPr>
        <w:jc w:val="both"/>
      </w:pPr>
    </w:p>
    <w:p w14:paraId="3ED97DFF">
      <w:pPr>
        <w:widowControl w:val="0"/>
        <w:numPr>
          <w:numId w:val="0"/>
        </w:numPr>
        <w:jc w:val="both"/>
      </w:pPr>
    </w:p>
    <w:p w14:paraId="1F93AAB5">
      <w:pPr>
        <w:widowControl w:val="0"/>
        <w:numPr>
          <w:numId w:val="0"/>
        </w:numPr>
        <w:jc w:val="both"/>
      </w:pPr>
    </w:p>
    <w:p w14:paraId="30E51C70">
      <w:pPr>
        <w:widowControl w:val="0"/>
        <w:numPr>
          <w:numId w:val="0"/>
        </w:numPr>
        <w:jc w:val="both"/>
      </w:pPr>
    </w:p>
    <w:p w14:paraId="455666EF">
      <w:pPr>
        <w:widowControl w:val="0"/>
        <w:numPr>
          <w:numId w:val="0"/>
        </w:numPr>
        <w:jc w:val="both"/>
      </w:pPr>
    </w:p>
    <w:p w14:paraId="74CAA793">
      <w:pPr>
        <w:widowControl w:val="0"/>
        <w:numPr>
          <w:numId w:val="0"/>
        </w:numPr>
        <w:jc w:val="both"/>
      </w:pPr>
    </w:p>
    <w:p w14:paraId="7B6EB1D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A02F7A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Times New Roman" w:hAnsi="Times New Roman" w:cs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三维建模</w:t>
      </w:r>
    </w:p>
    <w:p w14:paraId="4C6D8BE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      质量验证结果如下，PDB文件见文件夹。</w:t>
      </w:r>
    </w:p>
    <w:p w14:paraId="27BC0E8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     </w:t>
      </w:r>
      <w:r>
        <w:drawing>
          <wp:inline distT="0" distB="0" distL="114300" distR="114300">
            <wp:extent cx="4893310" cy="2322195"/>
            <wp:effectExtent l="0" t="0" r="1397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C3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default" w:ascii="Times New Roman" w:hAnsi="Times New Roman" w:cs="Times New Roman"/>
          <w:sz w:val="20"/>
          <w:szCs w:val="20"/>
          <w:lang w:val="en-US" w:eastAsia="zh-CN"/>
        </w:rPr>
      </w:pPr>
    </w:p>
    <w:p w14:paraId="64F3DC0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Times New Roman" w:hAnsi="Times New Roman" w:cs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B细胞构象表位与MHC</w:t>
      </w:r>
      <w:r>
        <w:rPr>
          <w:rFonts w:hint="eastAsia"/>
          <w:sz w:val="18"/>
          <w:szCs w:val="18"/>
          <w:lang w:val="en-US" w:eastAsia="zh-CN"/>
        </w:rPr>
        <w:t>II分子对接结果</w:t>
      </w:r>
    </w:p>
    <w:p w14:paraId="5053A3E2">
      <w:pPr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400"/>
        <w:jc w:val="left"/>
        <w:textAlignment w:val="auto"/>
        <w:rPr>
          <w:rFonts w:hint="default" w:ascii="Times New Roman" w:hAnsi="Times New Roman" w:cs="Times New Roman"/>
          <w:sz w:val="20"/>
          <w:szCs w:val="20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预测分析结果如下，分子对接PDB文件见文件夹</w:t>
      </w:r>
    </w:p>
    <w:p w14:paraId="3CCCBBB9">
      <w:pPr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5267325" cy="2413000"/>
            <wp:effectExtent l="0" t="0" r="571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291ED">
      <w:pPr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5273675" cy="2919730"/>
            <wp:effectExtent l="0" t="0" r="1460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3DAA8">
      <w:pPr>
        <w:keepNext w:val="0"/>
        <w:keepLines w:val="0"/>
        <w:pageBreakBefore w:val="0"/>
        <w:widowControl w:val="0"/>
        <w:numPr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444750"/>
            <wp:effectExtent l="0" t="0" r="190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85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default" w:ascii="Times New Roman" w:hAnsi="Times New Roman" w:cs="Times New Roman"/>
          <w:sz w:val="20"/>
          <w:szCs w:val="20"/>
          <w:lang w:val="en-US" w:eastAsia="zh-CN"/>
        </w:rPr>
      </w:pPr>
    </w:p>
    <w:p w14:paraId="6BB5D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Times New Roman" w:hAnsi="Times New Roman" w:cs="Times New Roman"/>
          <w:sz w:val="20"/>
          <w:szCs w:val="20"/>
          <w:lang w:val="en-US" w:eastAsia="zh-CN"/>
        </w:rPr>
      </w:pPr>
      <w:r>
        <w:drawing>
          <wp:inline distT="0" distB="0" distL="114300" distR="114300">
            <wp:extent cx="5008245" cy="2217420"/>
            <wp:effectExtent l="0" t="0" r="571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8245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B1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default" w:ascii="Times New Roman" w:hAnsi="Times New Roman" w:cs="Times New Roman"/>
          <w:sz w:val="20"/>
          <w:szCs w:val="20"/>
          <w:lang w:val="en-US" w:eastAsia="zh-CN"/>
        </w:rPr>
      </w:pPr>
    </w:p>
    <w:p w14:paraId="66123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default" w:ascii="Times New Roman" w:hAnsi="Times New Roman" w:cs="Times New Roman"/>
          <w:sz w:val="20"/>
          <w:szCs w:val="20"/>
          <w:lang w:val="en-US" w:eastAsia="zh-CN"/>
        </w:rPr>
      </w:pPr>
    </w:p>
    <w:p w14:paraId="13627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default" w:ascii="Times New Roman" w:hAnsi="Times New Roman" w:cs="Times New Roman"/>
          <w:sz w:val="20"/>
          <w:szCs w:val="20"/>
          <w:lang w:val="en-US" w:eastAsia="zh-CN"/>
        </w:rPr>
      </w:pPr>
      <w:bookmarkStart w:id="1" w:name="_GoBack"/>
      <w:bookmarkEnd w:id="1"/>
    </w:p>
    <w:p w14:paraId="7AABFF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default" w:ascii="Times New Roman" w:hAnsi="Times New Roman" w:cs="Times New Roman"/>
          <w:sz w:val="20"/>
          <w:szCs w:val="20"/>
          <w:lang w:val="en-US" w:eastAsia="zh-CN"/>
        </w:rPr>
      </w:pPr>
    </w:p>
    <w:p w14:paraId="41879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default" w:ascii="Times New Roman" w:hAnsi="Times New Roman" w:cs="Times New Roman"/>
          <w:sz w:val="20"/>
          <w:szCs w:val="20"/>
          <w:lang w:val="en-US" w:eastAsia="zh-CN"/>
        </w:rPr>
      </w:pPr>
    </w:p>
    <w:p w14:paraId="2AA26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default" w:ascii="Times New Roman" w:hAnsi="Times New Roman" w:cs="Times New Roman"/>
          <w:sz w:val="20"/>
          <w:szCs w:val="20"/>
          <w:lang w:val="en-US" w:eastAsia="zh-CN"/>
        </w:rPr>
      </w:pPr>
    </w:p>
    <w:p w14:paraId="2E8BC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default" w:ascii="Times New Roman" w:hAnsi="Times New Roman" w:cs="Times New Roman"/>
          <w:sz w:val="20"/>
          <w:szCs w:val="20"/>
          <w:lang w:val="en-US" w:eastAsia="zh-CN"/>
        </w:rPr>
      </w:pPr>
    </w:p>
    <w:p w14:paraId="1A5D6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default" w:ascii="Times New Roman" w:hAnsi="Times New Roman" w:cs="Times New Roman"/>
          <w:sz w:val="20"/>
          <w:szCs w:val="20"/>
          <w:lang w:val="en-US" w:eastAsia="zh-CN"/>
        </w:rPr>
      </w:pPr>
    </w:p>
    <w:p w14:paraId="1FF1A1C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FA42EA"/>
    <w:multiLevelType w:val="singleLevel"/>
    <w:tmpl w:val="A7FA42EA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3E4B2A75"/>
    <w:multiLevelType w:val="singleLevel"/>
    <w:tmpl w:val="3E4B2A75"/>
    <w:lvl w:ilvl="0" w:tentative="0">
      <w:start w:val="3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I2MDk1MWY1ODJjMTE5OTgxNmQ5OTc1MjVhMTc0MTcifQ=="/>
  </w:docVars>
  <w:rsids>
    <w:rsidRoot w:val="00000000"/>
    <w:rsid w:val="588B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Office_12.1.0.17440_F1E327BC-269C-435d-A152-05C5408002CA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2024-07-10T10:31:01Z</dcterms:created>
  <dc:creator>yh</dc:creator>
  <cp:lastModifiedBy>唐僧洗发用飘柔</cp:lastModifiedBy>
  <dcterms:modified xsi:type="dcterms:W3CDTF">2024-07-10T10:39:13Z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2052-12.1.0.17440</vt:lpwstr>
  </property>
  <property fmtid="{D5CDD505-2E9C-101B-9397-08002B2CF9AE}" pid="3" name="ICV">
    <vt:lpwstr>FD77F7678C4F44CCB584C8B3D9746358_12</vt:lpwstr>
  </property>
</Properties>
</file>