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BE8618"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实验部分</w:t>
      </w:r>
    </w:p>
    <w:p w14:paraId="7ECD7910">
      <w:pPr>
        <w:jc w:val="both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本章节分为两个模块：1.引物设计（bbt扩增引物与两对无缝克隆引物）2.分子生物学实验</w:t>
      </w:r>
    </w:p>
    <w:p w14:paraId="2D1C951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1"/>
        <w:rPr>
          <w:rStyle w:val="12"/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</w:pPr>
      <w:r>
        <w:rPr>
          <w:rStyle w:val="12"/>
          <w:rFonts w:hint="eastAsia" w:asciiTheme="minorEastAsia" w:hAnsiTheme="minorEastAsia" w:eastAsiaTheme="minorEastAsia" w:cstheme="minorEastAsia"/>
          <w:b w:val="0"/>
          <w:bCs/>
          <w:sz w:val="28"/>
          <w:szCs w:val="28"/>
          <w:lang w:val="en-US" w:eastAsia="zh-CN"/>
        </w:rPr>
        <w:t>引物设计部分</w:t>
      </w:r>
    </w:p>
    <w:p w14:paraId="198912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outlineLvl w:val="1"/>
        <w:rPr>
          <w:rStyle w:val="12"/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Style w:val="12"/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如下图所示，为了进一步提高免疫效果我们设计的重组抗原CBBT在开始处添加了分子佐剂CTB，为了验证我们选择的三个多表位肽段是否具有免疫效果，需要设置一个对照组也就是不含分子佐剂CTB的重组抗原BBT；</w:t>
      </w:r>
      <w:r>
        <w:drawing>
          <wp:inline distT="0" distB="0" distL="114300" distR="114300">
            <wp:extent cx="4360545" cy="1503045"/>
            <wp:effectExtent l="0" t="0" r="1333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r="534" b="13388"/>
                    <a:stretch>
                      <a:fillRect/>
                    </a:stretch>
                  </pic:blipFill>
                  <pic:spPr>
                    <a:xfrm>
                      <a:off x="0" y="0"/>
                      <a:ext cx="436054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701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both"/>
        <w:textAlignment w:val="auto"/>
        <w:outlineLvl w:val="1"/>
        <w:rPr>
          <w:rStyle w:val="12"/>
          <w:rFonts w:hint="default" w:ascii="宋体" w:hAnsi="宋体" w:eastAsia="宋体" w:cs="宋体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</w:pPr>
      <w:r>
        <w:rPr>
          <w:rStyle w:val="12"/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 xml:space="preserve">       CBBT抗原DNA序列</w:t>
      </w:r>
      <w:r>
        <w:rPr>
          <w:rStyle w:val="12"/>
          <w:rFonts w:hint="eastAsia" w:ascii="宋体" w:hAnsi="宋体" w:eastAsia="宋体" w:cs="宋体"/>
          <w:b w:val="0"/>
          <w:bCs/>
          <w:i/>
          <w:iCs/>
          <w:sz w:val="21"/>
          <w:szCs w:val="21"/>
          <w:lang w:val="en-US" w:eastAsia="zh-CN"/>
        </w:rPr>
        <w:t>cbbt</w:t>
      </w:r>
      <w:r>
        <w:rPr>
          <w:rStyle w:val="12"/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交由公司优化后直接合成，为了节约成本，BBT抗原DNA序列</w:t>
      </w:r>
      <w:r>
        <w:rPr>
          <w:rStyle w:val="12"/>
          <w:rFonts w:hint="eastAsia" w:ascii="宋体" w:hAnsi="宋体" w:eastAsia="宋体" w:cs="宋体"/>
          <w:b w:val="0"/>
          <w:bCs/>
          <w:i/>
          <w:iCs/>
          <w:sz w:val="21"/>
          <w:szCs w:val="21"/>
          <w:lang w:val="en-US" w:eastAsia="zh-CN"/>
        </w:rPr>
        <w:t>bbt</w:t>
      </w:r>
      <w:r>
        <w:rPr>
          <w:rStyle w:val="12"/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通过设计引物以</w:t>
      </w:r>
      <w:r>
        <w:rPr>
          <w:rStyle w:val="12"/>
          <w:rFonts w:hint="eastAsia" w:ascii="宋体" w:hAnsi="宋体" w:eastAsia="宋体" w:cs="宋体"/>
          <w:b w:val="0"/>
          <w:bCs/>
          <w:i/>
          <w:iCs/>
          <w:sz w:val="21"/>
          <w:szCs w:val="21"/>
          <w:lang w:val="en-US" w:eastAsia="zh-CN"/>
        </w:rPr>
        <w:t>cbbt</w:t>
      </w:r>
      <w:r>
        <w:rPr>
          <w:rStyle w:val="12"/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为模板PCR扩增获得。这需要</w:t>
      </w:r>
      <w:r>
        <w:rPr>
          <w:rStyle w:val="12"/>
          <w:rFonts w:hint="eastAsia" w:ascii="宋体" w:hAnsi="宋体" w:eastAsia="宋体" w:cs="宋体"/>
          <w:b/>
          <w:bCs w:val="0"/>
          <w:i w:val="0"/>
          <w:iCs w:val="0"/>
          <w:color w:val="0000FF"/>
          <w:sz w:val="21"/>
          <w:szCs w:val="21"/>
          <w:highlight w:val="none"/>
          <w:lang w:val="en-US" w:eastAsia="zh-CN"/>
        </w:rPr>
        <w:t>第一对引物</w:t>
      </w:r>
    </w:p>
    <w:p w14:paraId="2CA371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both"/>
        <w:textAlignment w:val="auto"/>
        <w:outlineLvl w:val="1"/>
        <w:rPr>
          <w:rFonts w:hint="eastAsia" w:ascii="Times New Roman" w:hAnsi="Times New Roman" w:eastAsia="宋体" w:cs="Times New Roman"/>
          <w:b w:val="0"/>
          <w:bCs w:val="0"/>
          <w:color w:val="auto"/>
          <w:kern w:val="0"/>
          <w:sz w:val="21"/>
          <w:szCs w:val="21"/>
          <w:lang w:val="en-US" w:eastAsia="zh-CN"/>
        </w:rPr>
      </w:pPr>
      <w:r>
        <w:rPr>
          <w:rStyle w:val="12"/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 xml:space="preserve">       后续我们将两个DNA片段通过无缝克隆连接到载体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1"/>
          <w:szCs w:val="21"/>
          <w:lang w:val="en-US" w:eastAsia="zh-CN"/>
        </w:rPr>
        <w:t>pCold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21"/>
          <w:szCs w:val="21"/>
          <w:lang w:val="en-US" w:eastAsia="zh-CN"/>
        </w:rPr>
        <w:t>质粒上，进而将重组质粒转化到克隆菌株大量扩增，转化成功后重新提取质粒，再转化至表达菌株内表达即完成。与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1"/>
          <w:szCs w:val="21"/>
          <w:lang w:val="en-US" w:eastAsia="zh-CN"/>
        </w:rPr>
        <w:t>pCold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21"/>
          <w:szCs w:val="21"/>
          <w:lang w:val="en-US" w:eastAsia="zh-CN"/>
        </w:rPr>
        <w:t>质粒连接需要分别设计一对引物，也就是这里需要</w:t>
      </w:r>
      <w:r>
        <w:rPr>
          <w:rFonts w:hint="eastAsia" w:ascii="Times New Roman" w:hAnsi="Times New Roman" w:eastAsia="宋体" w:cs="Times New Roman"/>
          <w:b w:val="0"/>
          <w:bCs w:val="0"/>
          <w:color w:val="0000FF"/>
          <w:kern w:val="0"/>
          <w:sz w:val="21"/>
          <w:szCs w:val="21"/>
          <w:lang w:val="en-US" w:eastAsia="zh-CN"/>
        </w:rPr>
        <w:t>第二对和第三对引物。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0"/>
          <w:sz w:val="21"/>
          <w:szCs w:val="21"/>
          <w:lang w:val="en-US" w:eastAsia="zh-CN"/>
        </w:rPr>
        <w:t>下面介绍这两次引物分别如何设计。</w:t>
      </w:r>
    </w:p>
    <w:p w14:paraId="598CB9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both"/>
        <w:textAlignment w:val="auto"/>
        <w:outlineLvl w:val="1"/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0"/>
          <w:sz w:val="21"/>
          <w:szCs w:val="21"/>
          <w:lang w:val="en-US" w:eastAsia="zh-CN"/>
        </w:rPr>
        <w:t xml:space="preserve">       引物设计完毕后交由公司合成后使用</w:t>
      </w:r>
    </w:p>
    <w:p w14:paraId="1EC948CD">
      <w:pPr>
        <w:numPr>
          <w:ilvl w:val="0"/>
          <w:numId w:val="2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第一对引物（扩增</w:t>
      </w:r>
      <w:r>
        <w:rPr>
          <w:rFonts w:hint="eastAsia"/>
          <w:i/>
          <w:iCs/>
          <w:sz w:val="21"/>
          <w:szCs w:val="21"/>
          <w:lang w:val="en-US" w:eastAsia="zh-CN"/>
        </w:rPr>
        <w:t>bbt</w:t>
      </w:r>
      <w:r>
        <w:rPr>
          <w:rFonts w:hint="eastAsia"/>
          <w:sz w:val="21"/>
          <w:szCs w:val="21"/>
          <w:lang w:val="en-US" w:eastAsia="zh-CN"/>
        </w:rPr>
        <w:t>）</w:t>
      </w:r>
    </w:p>
    <w:p w14:paraId="5E48271E">
      <w:pPr>
        <w:widowControl w:val="0"/>
        <w:numPr>
          <w:ilvl w:val="0"/>
          <w:numId w:val="3"/>
        </w:numPr>
        <w:ind w:left="720" w:leftChars="0" w:firstLine="0" w:firstLineChars="0"/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按照文件夹内说明下载snapgene软件，除了引物设计还有很多功能比如序列比对，模拟PCR等等可自行探索，这里主要介绍设计引物，序列比对也蛮方便。</w:t>
      </w:r>
    </w:p>
    <w:p w14:paraId="786B7827">
      <w:pPr>
        <w:widowControl w:val="0"/>
        <w:numPr>
          <w:ilvl w:val="0"/>
          <w:numId w:val="3"/>
        </w:numPr>
        <w:ind w:left="720" w:leftChars="0" w:firstLine="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打开新的DNA文件—输入</w:t>
      </w:r>
      <w:r>
        <w:rPr>
          <w:rFonts w:hint="eastAsia"/>
          <w:i/>
          <w:iCs/>
          <w:sz w:val="21"/>
          <w:szCs w:val="21"/>
          <w:lang w:val="en-US" w:eastAsia="zh-CN"/>
        </w:rPr>
        <w:t>cbbt</w:t>
      </w:r>
      <w:r>
        <w:rPr>
          <w:rFonts w:hint="eastAsia"/>
          <w:sz w:val="21"/>
          <w:szCs w:val="21"/>
          <w:lang w:val="en-US" w:eastAsia="zh-CN"/>
        </w:rPr>
        <w:t>（公司优化后）序列—显示翻译后AA序列—找到CTB对应的序列（EAAAK后）</w:t>
      </w:r>
    </w:p>
    <w:p w14:paraId="308BA65A"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3961130" cy="2158365"/>
            <wp:effectExtent l="0" t="0" r="1270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6113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37CEC">
      <w:pPr>
        <w:widowControl w:val="0"/>
        <w:numPr>
          <w:ilvl w:val="0"/>
          <w:numId w:val="0"/>
        </w:numPr>
        <w:jc w:val="center"/>
      </w:pPr>
    </w:p>
    <w:p w14:paraId="2AB99803">
      <w:pPr>
        <w:widowControl w:val="0"/>
        <w:numPr>
          <w:ilvl w:val="0"/>
          <w:numId w:val="0"/>
        </w:numPr>
        <w:jc w:val="center"/>
        <w:rPr>
          <w:rFonts w:hint="default"/>
          <w:lang w:val="en-US" w:eastAsia="zh-CN"/>
        </w:rPr>
      </w:pPr>
    </w:p>
    <w:p w14:paraId="3C383BE4">
      <w:pPr>
        <w:widowControl w:val="0"/>
        <w:numPr>
          <w:ilvl w:val="0"/>
          <w:numId w:val="3"/>
        </w:numPr>
        <w:ind w:left="720" w:leftChars="0" w:firstLine="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上游引物F：鼠标选择开头一段核苷酸序列—引物—添加引物—顶部链—添加</w:t>
      </w:r>
    </w:p>
    <w:p w14:paraId="5DAA47A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    下游引物R：鼠标选择结尾核苷酸序列—引物—添加引物—底部链—添加</w:t>
      </w:r>
    </w:p>
    <w:p w14:paraId="5752B5BF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    比对上下游引物TM值确保相近，否则从新设计。</w:t>
      </w:r>
    </w:p>
    <w:p w14:paraId="1FC9472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    引物设计的基本原则：① 引物长度一般在15~30 碱基之间。</w:t>
      </w:r>
    </w:p>
    <w:p w14:paraId="43D0B61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                           ②G+C含量在40%~60%之间。</w:t>
      </w:r>
    </w:p>
    <w:p w14:paraId="1ADCEA17">
      <w:pPr>
        <w:widowControl w:val="0"/>
        <w:numPr>
          <w:ilvl w:val="0"/>
          <w:numId w:val="0"/>
        </w:numPr>
        <w:tabs>
          <w:tab w:val="left" w:pos="312"/>
        </w:tabs>
        <w:jc w:val="both"/>
      </w:pPr>
      <w:r>
        <w:rPr>
          <w:rFonts w:hint="eastAsia"/>
          <w:sz w:val="21"/>
          <w:szCs w:val="21"/>
          <w:lang w:val="en-US" w:eastAsia="zh-CN"/>
        </w:rPr>
        <w:t xml:space="preserve">                                ③上下游引物TM值相近。</w:t>
      </w:r>
    </w:p>
    <w:p w14:paraId="7BE9CB54">
      <w:pPr>
        <w:widowControl w:val="0"/>
        <w:numPr>
          <w:ilvl w:val="0"/>
          <w:numId w:val="0"/>
        </w:numPr>
        <w:tabs>
          <w:tab w:val="left" w:pos="312"/>
        </w:tabs>
        <w:jc w:val="center"/>
        <w:rPr>
          <w:rFonts w:hint="default"/>
          <w:sz w:val="21"/>
          <w:szCs w:val="21"/>
          <w:lang w:val="en-US" w:eastAsia="zh-CN"/>
        </w:rPr>
      </w:pPr>
      <w:commentRangeStart w:id="0"/>
      <w:r>
        <w:drawing>
          <wp:inline distT="0" distB="0" distL="114300" distR="114300">
            <wp:extent cx="3826510" cy="1579880"/>
            <wp:effectExtent l="0" t="0" r="13970" b="508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rcRect r="27371" b="1074"/>
                    <a:stretch>
                      <a:fillRect/>
                    </a:stretch>
                  </pic:blipFill>
                  <pic:spPr>
                    <a:xfrm>
                      <a:off x="0" y="0"/>
                      <a:ext cx="382651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0"/>
      <w:r>
        <w:commentReference w:id="0"/>
      </w:r>
    </w:p>
    <w:p w14:paraId="6983DA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center"/>
        <w:textAlignment w:val="auto"/>
        <w:outlineLvl w:val="1"/>
        <w:rPr>
          <w:rFonts w:hint="default" w:ascii="Times New Roman" w:hAnsi="Times New Roman" w:eastAsia="宋体" w:cs="Times New Roman"/>
          <w:b w:val="0"/>
          <w:bCs w:val="0"/>
          <w:color w:val="auto"/>
          <w:kern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677285" cy="2388870"/>
            <wp:effectExtent l="0" t="0" r="10795" b="381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7285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DC423">
      <w:pPr>
        <w:widowControl w:val="0"/>
        <w:numPr>
          <w:ilvl w:val="0"/>
          <w:numId w:val="0"/>
        </w:numPr>
        <w:ind w:left="720" w:left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 xml:space="preserve">     </w:t>
      </w:r>
      <w:commentRangeStart w:id="1"/>
      <w:r>
        <w:drawing>
          <wp:inline distT="0" distB="0" distL="114300" distR="114300">
            <wp:extent cx="3466465" cy="2228215"/>
            <wp:effectExtent l="0" t="0" r="8255" b="1206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222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1"/>
      <w:r>
        <w:commentReference w:id="1"/>
      </w:r>
    </w:p>
    <w:p w14:paraId="07F08A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2" w:firstLineChars="200"/>
        <w:jc w:val="both"/>
        <w:textAlignment w:val="auto"/>
        <w:outlineLvl w:val="1"/>
        <w:rPr>
          <w:rStyle w:val="12"/>
          <w:rFonts w:hint="default" w:ascii="Times New Roman" w:hAnsi="Times New Roman" w:eastAsia="黑体" w:cs="Times New Roman"/>
          <w:sz w:val="21"/>
          <w:szCs w:val="21"/>
          <w:lang w:val="en-US" w:eastAsia="zh-CN"/>
        </w:rPr>
      </w:pPr>
    </w:p>
    <w:p w14:paraId="01F07097">
      <w:pPr>
        <w:jc w:val="both"/>
        <w:rPr>
          <w:rFonts w:hint="default"/>
          <w:sz w:val="30"/>
          <w:szCs w:val="30"/>
          <w:lang w:val="en-US" w:eastAsia="zh-CN"/>
        </w:rPr>
      </w:pPr>
    </w:p>
    <w:p w14:paraId="163BA3EB">
      <w:pPr>
        <w:numPr>
          <w:ilvl w:val="0"/>
          <w:numId w:val="2"/>
        </w:num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第二对引物（无缝克隆引物）</w:t>
      </w:r>
    </w:p>
    <w:p w14:paraId="2D02DEB2">
      <w:pPr>
        <w:widowControl w:val="0"/>
        <w:numPr>
          <w:ilvl w:val="0"/>
          <w:numId w:val="4"/>
        </w:numPr>
        <w:ind w:left="720" w:leftChars="0" w:firstLine="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Snapgene打开</w:t>
      </w:r>
      <w:r>
        <w:rPr>
          <w:rStyle w:val="12"/>
          <w:rFonts w:hint="eastAsia" w:ascii="宋体" w:hAnsi="宋体" w:eastAsia="宋体" w:cs="宋体"/>
          <w:b w:val="0"/>
          <w:bCs/>
          <w:i w:val="0"/>
          <w:iCs w:val="0"/>
          <w:sz w:val="21"/>
          <w:szCs w:val="21"/>
          <w:lang w:val="en-US" w:eastAsia="zh-CN"/>
        </w:rPr>
        <w:t>载体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1"/>
          <w:szCs w:val="21"/>
          <w:lang w:val="en-US" w:eastAsia="zh-CN"/>
        </w:rPr>
        <w:t>pCold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21"/>
          <w:szCs w:val="21"/>
          <w:lang w:val="en-US" w:eastAsia="zh-CN"/>
        </w:rPr>
        <w:t>质粒DNA—图谱—查看合适的酶切位点（需要满足插入的DNA片段不包含这两个酶切位点。其次可以优先考虑实验室目前有的酶切酶，这里查看后发现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kern w:val="0"/>
          <w:sz w:val="24"/>
          <w:szCs w:val="24"/>
          <w:lang w:val="en-US" w:eastAsia="zh-CN"/>
        </w:rPr>
        <w:t>Nde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 xml:space="preserve"> I（5’端）和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kern w:val="0"/>
          <w:sz w:val="24"/>
          <w:szCs w:val="24"/>
          <w:lang w:val="en-US" w:eastAsia="zh-CN"/>
        </w:rPr>
        <w:t>Hind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 xml:space="preserve"> III（3’端）</w:t>
      </w:r>
      <w:r>
        <w:rPr>
          <w:rFonts w:hint="eastAsia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>满足条件。）</w:t>
      </w:r>
    </w:p>
    <w:p w14:paraId="657427B5">
      <w:pPr>
        <w:jc w:val="center"/>
        <w:rPr>
          <w:rFonts w:hint="eastAsia"/>
          <w:sz w:val="30"/>
          <w:szCs w:val="30"/>
          <w:lang w:val="en-US" w:eastAsia="zh-CN"/>
        </w:rPr>
      </w:pPr>
      <w:r>
        <w:drawing>
          <wp:inline distT="0" distB="0" distL="114300" distR="114300">
            <wp:extent cx="4393565" cy="3148330"/>
            <wp:effectExtent l="0" t="0" r="10795" b="635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4769F">
      <w:pPr>
        <w:jc w:val="both"/>
        <w:rPr>
          <w:rFonts w:hint="eastAsia"/>
          <w:sz w:val="30"/>
          <w:szCs w:val="30"/>
          <w:lang w:val="en-US" w:eastAsia="zh-CN"/>
        </w:rPr>
      </w:pPr>
      <w:commentRangeStart w:id="2"/>
      <w:r>
        <w:drawing>
          <wp:inline distT="0" distB="0" distL="114300" distR="114300">
            <wp:extent cx="5269230" cy="1726565"/>
            <wp:effectExtent l="0" t="0" r="3810" b="1079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2"/>
      <w:r>
        <w:commentReference w:id="2"/>
      </w:r>
    </w:p>
    <w:p w14:paraId="7AF6143B">
      <w:pPr>
        <w:widowControl w:val="0"/>
        <w:numPr>
          <w:ilvl w:val="0"/>
          <w:numId w:val="4"/>
        </w:numPr>
        <w:ind w:left="720" w:leftChars="0" w:firstLine="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登录在线网址</w:t>
      </w:r>
      <w:r>
        <w:rPr>
          <w:rFonts w:hint="eastAsia"/>
          <w:sz w:val="21"/>
          <w:szCs w:val="21"/>
          <w:lang w:val="en-US" w:eastAsia="zh-CN"/>
        </w:rPr>
        <w:fldChar w:fldCharType="begin"/>
      </w:r>
      <w:r>
        <w:rPr>
          <w:rFonts w:hint="eastAsia"/>
          <w:sz w:val="21"/>
          <w:szCs w:val="21"/>
          <w:lang w:val="en-US" w:eastAsia="zh-CN"/>
        </w:rPr>
        <w:instrText xml:space="preserve"> HYPERLINK "https://crm.vazyme.com/cetool/singlefragment.html" </w:instrText>
      </w:r>
      <w:r>
        <w:rPr>
          <w:rFonts w:hint="eastAsia"/>
          <w:sz w:val="21"/>
          <w:szCs w:val="21"/>
          <w:lang w:val="en-US" w:eastAsia="zh-CN"/>
        </w:rPr>
        <w:fldChar w:fldCharType="separate"/>
      </w:r>
      <w:r>
        <w:rPr>
          <w:rStyle w:val="11"/>
          <w:rFonts w:hint="eastAsia"/>
          <w:sz w:val="21"/>
          <w:szCs w:val="21"/>
          <w:lang w:val="en-US" w:eastAsia="zh-CN"/>
        </w:rPr>
        <w:t>https://crm.vazyme.com/cetool/singlefragment.html</w:t>
      </w:r>
      <w:r>
        <w:rPr>
          <w:rFonts w:hint="eastAsia"/>
          <w:sz w:val="21"/>
          <w:szCs w:val="21"/>
          <w:lang w:val="en-US" w:eastAsia="zh-CN"/>
        </w:rPr>
        <w:fldChar w:fldCharType="end"/>
      </w:r>
    </w:p>
    <w:p w14:paraId="36604764">
      <w:pPr>
        <w:widowControl w:val="0"/>
        <w:numPr>
          <w:ilvl w:val="0"/>
          <w:numId w:val="4"/>
        </w:numPr>
        <w:ind w:left="720" w:leftChars="0" w:firstLine="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双酶切线性化—输入载体DNA序列（pCold）—上游酶切位点—下游酶切位点—目的片段DNA序列（</w:t>
      </w:r>
      <w:r>
        <w:rPr>
          <w:rFonts w:hint="eastAsia"/>
          <w:i/>
          <w:iCs/>
          <w:sz w:val="21"/>
          <w:szCs w:val="21"/>
          <w:lang w:val="en-US" w:eastAsia="zh-CN"/>
        </w:rPr>
        <w:t>cbbt或bbt</w:t>
      </w:r>
      <w:r>
        <w:rPr>
          <w:rFonts w:hint="eastAsia"/>
          <w:sz w:val="21"/>
          <w:szCs w:val="21"/>
          <w:lang w:val="en-US" w:eastAsia="zh-CN"/>
        </w:rPr>
        <w:t>）—生成引物</w:t>
      </w:r>
    </w:p>
    <w:p w14:paraId="6C29AF2F">
      <w:pPr>
        <w:widowControl w:val="0"/>
        <w:numPr>
          <w:ilvl w:val="0"/>
          <w:numId w:val="0"/>
        </w:numPr>
        <w:tabs>
          <w:tab w:val="left" w:pos="312"/>
        </w:tabs>
        <w:jc w:val="center"/>
      </w:pPr>
      <w:r>
        <w:drawing>
          <wp:inline distT="0" distB="0" distL="114300" distR="114300">
            <wp:extent cx="4189730" cy="2264410"/>
            <wp:effectExtent l="0" t="0" r="127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973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24BBF">
      <w:pPr>
        <w:widowControl w:val="0"/>
        <w:numPr>
          <w:ilvl w:val="0"/>
          <w:numId w:val="0"/>
        </w:numPr>
        <w:tabs>
          <w:tab w:val="left" w:pos="312"/>
        </w:tabs>
        <w:jc w:val="center"/>
        <w:rPr>
          <w:rFonts w:hint="default"/>
          <w:lang w:val="en-US" w:eastAsia="zh-CN"/>
        </w:rPr>
      </w:pPr>
    </w:p>
    <w:p w14:paraId="669B77CF">
      <w:pPr>
        <w:jc w:val="both"/>
        <w:rPr>
          <w:rFonts w:hint="eastAsia"/>
          <w:sz w:val="30"/>
          <w:szCs w:val="30"/>
          <w:lang w:val="en-US" w:eastAsia="zh-CN"/>
        </w:rPr>
      </w:pPr>
    </w:p>
    <w:p w14:paraId="22D74F75">
      <w:pPr>
        <w:jc w:val="both"/>
        <w:rPr>
          <w:rFonts w:hint="eastAsia"/>
          <w:sz w:val="30"/>
          <w:szCs w:val="30"/>
          <w:lang w:val="en-US" w:eastAsia="zh-CN"/>
        </w:rPr>
      </w:pPr>
    </w:p>
    <w:p w14:paraId="1D72FEB2">
      <w:pPr>
        <w:jc w:val="both"/>
        <w:rPr>
          <w:rFonts w:hint="eastAsia"/>
          <w:sz w:val="30"/>
          <w:szCs w:val="30"/>
          <w:lang w:val="en-US" w:eastAsia="zh-CN"/>
        </w:rPr>
      </w:pPr>
    </w:p>
    <w:p w14:paraId="5BD3A661">
      <w:pPr>
        <w:jc w:val="both"/>
        <w:rPr>
          <w:rFonts w:hint="eastAsia"/>
          <w:sz w:val="30"/>
          <w:szCs w:val="30"/>
          <w:lang w:val="en-US" w:eastAsia="zh-CN"/>
        </w:rPr>
      </w:pPr>
    </w:p>
    <w:p w14:paraId="64EC752C">
      <w:pPr>
        <w:jc w:val="both"/>
        <w:rPr>
          <w:rFonts w:hint="eastAsia"/>
          <w:sz w:val="30"/>
          <w:szCs w:val="30"/>
          <w:lang w:val="en-US" w:eastAsia="zh-CN"/>
        </w:rPr>
      </w:pPr>
    </w:p>
    <w:p w14:paraId="76F40D77">
      <w:pPr>
        <w:jc w:val="both"/>
        <w:rPr>
          <w:rFonts w:hint="eastAsia"/>
          <w:sz w:val="30"/>
          <w:szCs w:val="30"/>
          <w:lang w:val="en-US" w:eastAsia="zh-CN"/>
        </w:rPr>
      </w:pPr>
    </w:p>
    <w:p w14:paraId="5528B352">
      <w:pPr>
        <w:jc w:val="both"/>
        <w:rPr>
          <w:rFonts w:hint="eastAsia"/>
          <w:sz w:val="30"/>
          <w:szCs w:val="30"/>
          <w:lang w:val="en-US" w:eastAsia="zh-CN"/>
        </w:rPr>
      </w:pPr>
    </w:p>
    <w:p w14:paraId="070FC4CA">
      <w:pPr>
        <w:jc w:val="both"/>
        <w:rPr>
          <w:rFonts w:hint="eastAsia"/>
          <w:sz w:val="30"/>
          <w:szCs w:val="30"/>
          <w:lang w:val="en-US" w:eastAsia="zh-CN"/>
        </w:rPr>
      </w:pPr>
    </w:p>
    <w:p w14:paraId="36BA1864">
      <w:pPr>
        <w:jc w:val="both"/>
        <w:rPr>
          <w:rFonts w:hint="eastAsia"/>
          <w:sz w:val="30"/>
          <w:szCs w:val="30"/>
          <w:lang w:val="en-US" w:eastAsia="zh-CN"/>
        </w:rPr>
      </w:pPr>
    </w:p>
    <w:p w14:paraId="4382D456">
      <w:pPr>
        <w:jc w:val="both"/>
        <w:rPr>
          <w:rFonts w:hint="eastAsia"/>
          <w:sz w:val="30"/>
          <w:szCs w:val="30"/>
          <w:lang w:val="en-US" w:eastAsia="zh-CN"/>
        </w:rPr>
      </w:pPr>
    </w:p>
    <w:p w14:paraId="773F75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1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Style w:val="12"/>
          <w:rFonts w:hint="eastAsia" w:ascii="宋体" w:hAnsi="宋体" w:eastAsia="宋体" w:cs="宋体"/>
          <w:b w:val="0"/>
          <w:bCs/>
          <w:sz w:val="28"/>
          <w:szCs w:val="28"/>
          <w:lang w:val="en-US" w:eastAsia="zh-CN"/>
        </w:rPr>
        <w:t>分子生物学实验部分</w:t>
      </w:r>
    </w:p>
    <w:p w14:paraId="468E56BE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31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firstLine="420" w:firstLineChars="200"/>
        <w:jc w:val="both"/>
        <w:textAlignment w:val="auto"/>
        <w:outlineLvl w:val="1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分子生物学部分实验操作步骤在论文中有论述，按照论文内容复制如下，一些操作步骤如胶回收中会用到试剂盒等工具，其说明书会有相应的详细操作步骤。</w:t>
      </w:r>
    </w:p>
    <w:p w14:paraId="0487E2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textAlignment w:val="auto"/>
        <w:outlineLvl w:val="1"/>
        <w:rPr>
          <w:rFonts w:hint="default" w:ascii="Times New Roman" w:hAnsi="Times New Roman" w:eastAsia="黑体" w:cs="Times New Roman"/>
          <w:b/>
          <w:bCs/>
          <w:kern w:val="0"/>
          <w:sz w:val="28"/>
          <w:szCs w:val="28"/>
          <w:lang w:val="en-US" w:eastAsia="zh-CN"/>
        </w:rPr>
      </w:pPr>
      <w:r>
        <w:rPr>
          <w:rStyle w:val="12"/>
          <w:rFonts w:hint="default" w:ascii="Times New Roman" w:hAnsi="Times New Roman" w:eastAsia="黑体" w:cs="Times New Roman"/>
          <w:sz w:val="28"/>
          <w:szCs w:val="28"/>
          <w:lang w:val="en-US" w:eastAsia="zh-CN"/>
        </w:rPr>
        <w:t>3.5</w:t>
      </w:r>
      <w:r>
        <w:rPr>
          <w:rFonts w:hint="default" w:ascii="Times New Roman" w:hAnsi="Times New Roman" w:eastAsia="黑体" w:cs="Times New Roman"/>
          <w:b/>
          <w:bCs/>
          <w:kern w:val="0"/>
          <w:sz w:val="28"/>
          <w:szCs w:val="28"/>
          <w:lang w:val="en-US" w:eastAsia="zh-CN"/>
        </w:rPr>
        <w:t>多表位重组抗原的原核表达</w:t>
      </w:r>
    </w:p>
    <w:p w14:paraId="3C7991FF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240" w:lineRule="auto"/>
        <w:jc w:val="both"/>
        <w:textAlignment w:val="auto"/>
        <w:rPr>
          <w:rFonts w:hint="default" w:ascii="Times New Roman" w:hAnsi="Times New Roman" w:eastAsia="黑体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</w:pPr>
      <w:bookmarkStart w:id="0" w:name="_Toc7349"/>
      <w:bookmarkStart w:id="1" w:name="_Toc930"/>
      <w:r>
        <w:rPr>
          <w:rFonts w:hint="default" w:ascii="Times New Roman" w:hAnsi="Times New Roman" w:eastAsia="黑体" w:cs="Times New Roman"/>
          <w:b/>
          <w:bCs/>
          <w:kern w:val="0"/>
          <w:sz w:val="24"/>
          <w:szCs w:val="24"/>
          <w:lang w:val="en-US" w:eastAsia="zh-CN"/>
        </w:rPr>
        <w:t xml:space="preserve">3.5.1 </w:t>
      </w:r>
      <w:r>
        <w:rPr>
          <w:rFonts w:hint="default" w:ascii="Times New Roman" w:hAnsi="Times New Roman" w:eastAsia="黑体" w:cs="Times New Roman"/>
          <w:b/>
          <w:bCs/>
          <w:i/>
          <w:iCs/>
          <w:kern w:val="0"/>
          <w:sz w:val="24"/>
          <w:szCs w:val="24"/>
          <w:lang w:val="en-US" w:eastAsia="zh-CN"/>
        </w:rPr>
        <w:t>bbt</w:t>
      </w:r>
      <w:r>
        <w:rPr>
          <w:rFonts w:hint="default" w:ascii="Times New Roman" w:hAnsi="Times New Roman" w:eastAsia="黑体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基因的扩增与克隆载体构建</w:t>
      </w:r>
      <w:bookmarkEnd w:id="0"/>
      <w:bookmarkEnd w:id="1"/>
    </w:p>
    <w:p w14:paraId="42598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both"/>
        <w:textAlignment w:val="auto"/>
        <w:outlineLvl w:val="3"/>
        <w:rPr>
          <w:rFonts w:hint="default" w:ascii="Times New Roman" w:hAnsi="Times New Roman" w:eastAsia="黑体" w:cs="Times New Roman"/>
          <w:b/>
          <w:bCs/>
          <w:kern w:val="0"/>
          <w:sz w:val="24"/>
          <w:szCs w:val="24"/>
          <w:lang w:val="en-US" w:eastAsia="zh-CN"/>
        </w:rPr>
      </w:pPr>
      <w:bookmarkStart w:id="2" w:name="_Toc18194"/>
      <w:r>
        <w:rPr>
          <w:rStyle w:val="13"/>
          <w:rFonts w:hint="default" w:ascii="Times New Roman" w:hAnsi="Times New Roman" w:eastAsia="黑体" w:cs="Times New Roman"/>
          <w:sz w:val="24"/>
          <w:szCs w:val="24"/>
          <w:lang w:val="en-US" w:eastAsia="zh-CN"/>
        </w:rPr>
        <w:t>3.5.1.1</w:t>
      </w:r>
      <w:r>
        <w:rPr>
          <w:rFonts w:hint="default" w:ascii="Times New Roman" w:hAnsi="Times New Roman" w:eastAsia="黑体" w:cs="Times New Roman"/>
          <w:b/>
          <w:bCs/>
          <w:kern w:val="0"/>
          <w:sz w:val="24"/>
          <w:szCs w:val="24"/>
          <w:lang w:val="en-US" w:eastAsia="zh-CN"/>
        </w:rPr>
        <w:t>特异性引物设计</w:t>
      </w:r>
      <w:bookmarkEnd w:id="2"/>
    </w:p>
    <w:p w14:paraId="26C529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>多表位重组抗原（CBBT）编码基因（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kern w:val="0"/>
          <w:sz w:val="24"/>
          <w:szCs w:val="24"/>
          <w:lang w:val="en-US" w:eastAsia="zh-CN"/>
        </w:rPr>
        <w:t>cbbt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>）由上海生工生物工程公司优化并合成，基于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kern w:val="0"/>
          <w:sz w:val="24"/>
          <w:szCs w:val="24"/>
          <w:lang w:val="en-US" w:eastAsia="zh-CN"/>
        </w:rPr>
        <w:t>cbbt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kern w:val="0"/>
          <w:sz w:val="24"/>
          <w:szCs w:val="24"/>
          <w:lang w:val="en-US" w:eastAsia="zh-CN"/>
        </w:rPr>
        <w:t>基因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>序列，使用SnapGene软件设计一对引物用于特异性扩增不含分子佐剂CTB的多表位重组抗原基因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kern w:val="0"/>
          <w:sz w:val="24"/>
          <w:szCs w:val="24"/>
          <w:lang w:val="en-US" w:eastAsia="zh-CN"/>
        </w:rPr>
        <w:t>bbt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>。同时以pCold-TF为克隆载体，以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kern w:val="0"/>
          <w:sz w:val="24"/>
          <w:szCs w:val="24"/>
          <w:lang w:val="en-US" w:eastAsia="zh-CN"/>
        </w:rPr>
        <w:t>Nde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 xml:space="preserve"> I（5’端）和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kern w:val="0"/>
          <w:sz w:val="24"/>
          <w:szCs w:val="24"/>
          <w:lang w:val="en-US" w:eastAsia="zh-CN"/>
        </w:rPr>
        <w:t>Hind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 xml:space="preserve"> III（3’端）为酶切位点分别设计相应的无缝克隆引物，引物信息见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instrText xml:space="preserve"> REF _Ref5365 \h </w:instrTex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>表3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>，下划线代表酶切位点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highlight w:val="none"/>
          <w:lang w:val="en-US" w:eastAsia="zh-CN"/>
        </w:rPr>
        <w:t>。</w:t>
      </w:r>
    </w:p>
    <w:p w14:paraId="2E490E7B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</w:pPr>
      <w:bookmarkStart w:id="3" w:name="_Ref5365"/>
      <w:bookmarkStart w:id="4" w:name="_Ref5355"/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t>表</w:t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instrText xml:space="preserve"> SEQ 表 \* ARABIC </w:instrText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fldChar w:fldCharType="end"/>
      </w:r>
      <w:bookmarkEnd w:id="3"/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t xml:space="preserve"> 引物设计信息</w:t>
      </w:r>
      <w:bookmarkEnd w:id="4"/>
    </w:p>
    <w:tbl>
      <w:tblPr>
        <w:tblStyle w:val="9"/>
        <w:tblW w:w="8685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3817"/>
        <w:gridCol w:w="915"/>
        <w:gridCol w:w="1476"/>
        <w:gridCol w:w="1057"/>
      </w:tblGrid>
      <w:tr w14:paraId="589FC7F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tcBorders>
              <w:bottom w:val="single" w:color="auto" w:sz="8" w:space="0"/>
              <w:tl2br w:val="nil"/>
              <w:tr2bl w:val="nil"/>
            </w:tcBorders>
            <w:vAlign w:val="center"/>
          </w:tcPr>
          <w:p w14:paraId="46FC32E3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  <w:t>引物名称</w:t>
            </w:r>
          </w:p>
        </w:tc>
        <w:tc>
          <w:tcPr>
            <w:tcW w:w="3817" w:type="dxa"/>
            <w:tcBorders>
              <w:bottom w:val="single" w:color="auto" w:sz="8" w:space="0"/>
              <w:tl2br w:val="nil"/>
              <w:tr2bl w:val="nil"/>
            </w:tcBorders>
            <w:vAlign w:val="center"/>
          </w:tcPr>
          <w:p w14:paraId="7BB8BB2A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  <w:t>序列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（5’-3’）</w:t>
            </w:r>
          </w:p>
        </w:tc>
        <w:tc>
          <w:tcPr>
            <w:tcW w:w="915" w:type="dxa"/>
            <w:tcBorders>
              <w:bottom w:val="single" w:color="auto" w:sz="8" w:space="0"/>
              <w:tl2br w:val="nil"/>
              <w:tr2bl w:val="nil"/>
            </w:tcBorders>
            <w:vAlign w:val="center"/>
          </w:tcPr>
          <w:p w14:paraId="3131BBDA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  <w:t>长度/bp</w:t>
            </w:r>
          </w:p>
        </w:tc>
        <w:tc>
          <w:tcPr>
            <w:tcW w:w="1476" w:type="dxa"/>
            <w:tcBorders>
              <w:bottom w:val="single" w:color="auto" w:sz="8" w:space="0"/>
              <w:tl2br w:val="nil"/>
              <w:tr2bl w:val="nil"/>
            </w:tcBorders>
            <w:vAlign w:val="center"/>
          </w:tcPr>
          <w:p w14:paraId="0AB51904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</w:rPr>
              <w:t>GC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  <w:t>含量（%）</w:t>
            </w:r>
          </w:p>
        </w:tc>
        <w:tc>
          <w:tcPr>
            <w:tcW w:w="1057" w:type="dxa"/>
            <w:tcBorders>
              <w:bottom w:val="single" w:color="auto" w:sz="8" w:space="0"/>
              <w:tl2br w:val="nil"/>
              <w:tr2bl w:val="nil"/>
            </w:tcBorders>
            <w:vAlign w:val="center"/>
          </w:tcPr>
          <w:p w14:paraId="387AA3B5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</w:rPr>
              <w:t>TM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  <w:t>值/℃</w:t>
            </w:r>
          </w:p>
        </w:tc>
      </w:tr>
      <w:tr w14:paraId="606DB3C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  <w:jc w:val="center"/>
        </w:trPr>
        <w:tc>
          <w:tcPr>
            <w:tcW w:w="1420" w:type="dxa"/>
            <w:tcBorders>
              <w:top w:val="single" w:color="auto" w:sz="8" w:space="0"/>
            </w:tcBorders>
            <w:vAlign w:val="center"/>
          </w:tcPr>
          <w:p w14:paraId="34FDFED4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  <w:t>bbt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  <w:t>-F</w:t>
            </w:r>
          </w:p>
        </w:tc>
        <w:tc>
          <w:tcPr>
            <w:tcW w:w="3817" w:type="dxa"/>
            <w:tcBorders>
              <w:top w:val="single" w:color="auto" w:sz="8" w:space="0"/>
            </w:tcBorders>
            <w:vAlign w:val="center"/>
          </w:tcPr>
          <w:p w14:paraId="2C95D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/>
                <w:smallCap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/>
                <w:smallCap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GCAGGAGATATTGAAGCGC</w:t>
            </w:r>
          </w:p>
        </w:tc>
        <w:tc>
          <w:tcPr>
            <w:tcW w:w="915" w:type="dxa"/>
            <w:tcBorders>
              <w:top w:val="single" w:color="auto" w:sz="8" w:space="0"/>
            </w:tcBorders>
            <w:vAlign w:val="center"/>
          </w:tcPr>
          <w:p w14:paraId="6EE5BE1B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  <w:t>19</w:t>
            </w:r>
          </w:p>
        </w:tc>
        <w:tc>
          <w:tcPr>
            <w:tcW w:w="1476" w:type="dxa"/>
            <w:tcBorders>
              <w:top w:val="single" w:color="auto" w:sz="8" w:space="0"/>
            </w:tcBorders>
            <w:vAlign w:val="center"/>
          </w:tcPr>
          <w:p w14:paraId="1BEC7E31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  <w:t>52.6</w:t>
            </w:r>
          </w:p>
        </w:tc>
        <w:tc>
          <w:tcPr>
            <w:tcW w:w="1057" w:type="dxa"/>
            <w:tcBorders>
              <w:top w:val="single" w:color="auto" w:sz="8" w:space="0"/>
            </w:tcBorders>
            <w:vAlign w:val="center"/>
          </w:tcPr>
          <w:p w14:paraId="61D207B0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  <w:t>50.4</w:t>
            </w:r>
          </w:p>
        </w:tc>
      </w:tr>
      <w:tr w14:paraId="247B9CB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tcBorders>
              <w:tl2br w:val="nil"/>
              <w:tr2bl w:val="nil"/>
            </w:tcBorders>
            <w:vAlign w:val="center"/>
          </w:tcPr>
          <w:p w14:paraId="4EFF5F3F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shd w:val="clear" w:color="auto" w:fill="FAFAFA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i/>
                <w:iCs/>
                <w:sz w:val="21"/>
                <w:szCs w:val="21"/>
                <w:lang w:val="en-US" w:eastAsia="zh-CN"/>
              </w:rPr>
              <w:t>bbt</w:t>
            </w:r>
            <w:r>
              <w:rPr>
                <w:rFonts w:hint="default" w:ascii="Times New Roman" w:hAnsi="Times New Roman" w:eastAsia="宋体" w:cs="Times New Roman"/>
                <w:bCs/>
                <w:i/>
                <w:iCs/>
                <w:sz w:val="21"/>
                <w:szCs w:val="21"/>
              </w:rPr>
              <w:t>-</w:t>
            </w:r>
            <w:r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  <w:t>R</w:t>
            </w:r>
          </w:p>
        </w:tc>
        <w:tc>
          <w:tcPr>
            <w:tcW w:w="3817" w:type="dxa"/>
            <w:tcBorders>
              <w:tl2br w:val="nil"/>
              <w:tr2bl w:val="nil"/>
            </w:tcBorders>
            <w:vAlign w:val="center"/>
          </w:tcPr>
          <w:p w14:paraId="1E5A4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/>
                <w:smallCap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/>
                <w:smallCap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TTAATGATGATGGTGATGATGTTTC</w:t>
            </w:r>
          </w:p>
        </w:tc>
        <w:tc>
          <w:tcPr>
            <w:tcW w:w="915" w:type="dxa"/>
            <w:tcBorders>
              <w:tl2br w:val="nil"/>
              <w:tr2bl w:val="nil"/>
            </w:tcBorders>
            <w:vAlign w:val="center"/>
          </w:tcPr>
          <w:p w14:paraId="617BAC41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shd w:val="clear" w:color="auto" w:fill="FAFAFA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  <w:t>25</w:t>
            </w:r>
          </w:p>
        </w:tc>
        <w:tc>
          <w:tcPr>
            <w:tcW w:w="1476" w:type="dxa"/>
            <w:tcBorders>
              <w:tl2br w:val="nil"/>
              <w:tr2bl w:val="nil"/>
            </w:tcBorders>
            <w:vAlign w:val="center"/>
          </w:tcPr>
          <w:p w14:paraId="52DE4664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shd w:val="clear" w:color="auto" w:fill="FAFAFA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  <w:t>32.0</w:t>
            </w:r>
          </w:p>
        </w:tc>
        <w:tc>
          <w:tcPr>
            <w:tcW w:w="1057" w:type="dxa"/>
            <w:tcBorders>
              <w:tl2br w:val="nil"/>
              <w:tr2bl w:val="nil"/>
            </w:tcBorders>
            <w:vAlign w:val="center"/>
          </w:tcPr>
          <w:p w14:paraId="7B413E22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shd w:val="clear" w:color="auto" w:fill="FAFAFA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shd w:val="clear" w:color="auto" w:fill="FAFAFA"/>
                <w:lang w:val="en-US" w:eastAsia="zh-CN" w:bidi="ar-SA"/>
              </w:rPr>
              <w:t>53.9</w:t>
            </w:r>
          </w:p>
        </w:tc>
      </w:tr>
      <w:tr w14:paraId="683EFB3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tcBorders>
              <w:tl2br w:val="nil"/>
              <w:tr2bl w:val="nil"/>
            </w:tcBorders>
            <w:vAlign w:val="center"/>
          </w:tcPr>
          <w:p w14:paraId="29B79C9F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pCold-TF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-CF</w:t>
            </w:r>
          </w:p>
        </w:tc>
        <w:tc>
          <w:tcPr>
            <w:tcW w:w="3817" w:type="dxa"/>
            <w:tcBorders>
              <w:tl2br w:val="nil"/>
              <w:tr2bl w:val="nil"/>
            </w:tcBorders>
            <w:vAlign w:val="center"/>
          </w:tcPr>
          <w:p w14:paraId="78B5D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/>
                <w:smallCap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/>
                <w:smallCap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ggtatcgaaggtagg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caps/>
                <w:smallCaps w:val="0"/>
                <w:color w:val="000000"/>
                <w:kern w:val="0"/>
                <w:sz w:val="21"/>
                <w:szCs w:val="21"/>
                <w:u w:val="thick"/>
                <w:lang w:val="en-US" w:eastAsia="zh-CN" w:bidi="ar"/>
              </w:rPr>
              <w:t>catat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/>
                <w:smallCaps w:val="0"/>
                <w:color w:val="000000"/>
                <w:kern w:val="0"/>
                <w:sz w:val="21"/>
                <w:szCs w:val="21"/>
                <w:u w:val="thick"/>
                <w:lang w:val="en-US" w:eastAsia="zh-CN" w:bidi="ar"/>
              </w:rPr>
              <w:t>g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/>
                <w:smallCap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ATGATTAAACTGAAATTTGGCGTTT</w:t>
            </w:r>
          </w:p>
        </w:tc>
        <w:tc>
          <w:tcPr>
            <w:tcW w:w="915" w:type="dxa"/>
            <w:tcBorders>
              <w:tl2br w:val="nil"/>
              <w:tr2bl w:val="nil"/>
            </w:tcBorders>
            <w:vAlign w:val="center"/>
          </w:tcPr>
          <w:p w14:paraId="35791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46</w:t>
            </w:r>
          </w:p>
        </w:tc>
        <w:tc>
          <w:tcPr>
            <w:tcW w:w="1476" w:type="dxa"/>
            <w:tcBorders>
              <w:tl2br w:val="nil"/>
              <w:tr2bl w:val="nil"/>
            </w:tcBorders>
            <w:vAlign w:val="center"/>
          </w:tcPr>
          <w:p w14:paraId="49EB2D0F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  <w:t>37.0</w:t>
            </w:r>
          </w:p>
        </w:tc>
        <w:tc>
          <w:tcPr>
            <w:tcW w:w="1057" w:type="dxa"/>
            <w:tcBorders>
              <w:tl2br w:val="nil"/>
              <w:tr2bl w:val="nil"/>
            </w:tcBorders>
            <w:vAlign w:val="center"/>
          </w:tcPr>
          <w:p w14:paraId="7710C275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  <w:t>63.2</w:t>
            </w:r>
          </w:p>
        </w:tc>
      </w:tr>
      <w:tr w14:paraId="30DE183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tcBorders>
              <w:tl2br w:val="nil"/>
              <w:tr2bl w:val="nil"/>
            </w:tcBorders>
            <w:vAlign w:val="center"/>
          </w:tcPr>
          <w:p w14:paraId="5A3370CE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pCold-TF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-CR</w:t>
            </w:r>
          </w:p>
        </w:tc>
        <w:tc>
          <w:tcPr>
            <w:tcW w:w="3817" w:type="dxa"/>
            <w:tcBorders>
              <w:tl2br w:val="nil"/>
              <w:tr2bl w:val="nil"/>
            </w:tcBorders>
            <w:vAlign w:val="center"/>
          </w:tcPr>
          <w:p w14:paraId="5B0D0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/>
                <w:smallCap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/>
                <w:smallCap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agactgcaggtcgac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/>
                <w:smallCaps w:val="0"/>
                <w:color w:val="000000"/>
                <w:kern w:val="0"/>
                <w:sz w:val="21"/>
                <w:szCs w:val="21"/>
                <w:u w:val="thick"/>
                <w:lang w:val="en-US" w:eastAsia="zh-CN" w:bidi="ar"/>
              </w:rPr>
              <w:t>aagctt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/>
                <w:smallCap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TTAATGATGATGGTGATGATGTTTCG</w:t>
            </w:r>
          </w:p>
        </w:tc>
        <w:tc>
          <w:tcPr>
            <w:tcW w:w="915" w:type="dxa"/>
            <w:tcBorders>
              <w:tl2br w:val="nil"/>
              <w:tr2bl w:val="nil"/>
            </w:tcBorders>
            <w:vAlign w:val="center"/>
          </w:tcPr>
          <w:p w14:paraId="77263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47</w:t>
            </w:r>
          </w:p>
        </w:tc>
        <w:tc>
          <w:tcPr>
            <w:tcW w:w="1476" w:type="dxa"/>
            <w:tcBorders>
              <w:tl2br w:val="nil"/>
              <w:tr2bl w:val="nil"/>
            </w:tcBorders>
            <w:vAlign w:val="center"/>
          </w:tcPr>
          <w:p w14:paraId="6698D681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  <w:t>42.6</w:t>
            </w:r>
          </w:p>
        </w:tc>
        <w:tc>
          <w:tcPr>
            <w:tcW w:w="1057" w:type="dxa"/>
            <w:tcBorders>
              <w:tl2br w:val="nil"/>
              <w:tr2bl w:val="nil"/>
            </w:tcBorders>
            <w:vAlign w:val="center"/>
          </w:tcPr>
          <w:p w14:paraId="28FFFD56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  <w:t>66.7</w:t>
            </w:r>
          </w:p>
        </w:tc>
      </w:tr>
      <w:tr w14:paraId="04BA382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tcBorders>
              <w:tl2br w:val="nil"/>
              <w:tr2bl w:val="nil"/>
            </w:tcBorders>
            <w:vAlign w:val="center"/>
          </w:tcPr>
          <w:p w14:paraId="455C591C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pCold-TF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-F</w:t>
            </w:r>
          </w:p>
        </w:tc>
        <w:tc>
          <w:tcPr>
            <w:tcW w:w="3817" w:type="dxa"/>
            <w:tcBorders>
              <w:tl2br w:val="nil"/>
              <w:tr2bl w:val="nil"/>
            </w:tcBorders>
            <w:vAlign w:val="center"/>
          </w:tcPr>
          <w:p w14:paraId="5B668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/>
                <w:smallCap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/>
                <w:smallCap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ggtatcgaaggtagg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/>
                <w:smallCaps w:val="0"/>
                <w:color w:val="000000"/>
                <w:kern w:val="0"/>
                <w:sz w:val="21"/>
                <w:szCs w:val="21"/>
                <w:u w:val="thick"/>
                <w:lang w:val="en-US" w:eastAsia="zh-CN" w:bidi="ar"/>
              </w:rPr>
              <w:t>catatg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/>
                <w:smallCap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GCAGGAGATATTGAAGCGCTTAA</w:t>
            </w:r>
          </w:p>
        </w:tc>
        <w:tc>
          <w:tcPr>
            <w:tcW w:w="915" w:type="dxa"/>
            <w:tcBorders>
              <w:tl2br w:val="nil"/>
              <w:tr2bl w:val="nil"/>
            </w:tcBorders>
            <w:vAlign w:val="center"/>
          </w:tcPr>
          <w:p w14:paraId="50E3C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44</w:t>
            </w:r>
          </w:p>
        </w:tc>
        <w:tc>
          <w:tcPr>
            <w:tcW w:w="1476" w:type="dxa"/>
            <w:tcBorders>
              <w:tl2br w:val="nil"/>
              <w:tr2bl w:val="nil"/>
            </w:tcBorders>
            <w:vAlign w:val="center"/>
          </w:tcPr>
          <w:p w14:paraId="49201B7B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  <w:t>45.5</w:t>
            </w:r>
          </w:p>
        </w:tc>
        <w:tc>
          <w:tcPr>
            <w:tcW w:w="1057" w:type="dxa"/>
            <w:tcBorders>
              <w:tl2br w:val="nil"/>
              <w:tr2bl w:val="nil"/>
            </w:tcBorders>
            <w:vAlign w:val="center"/>
          </w:tcPr>
          <w:p w14:paraId="3C95124C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  <w:t>66.8</w:t>
            </w:r>
          </w:p>
        </w:tc>
      </w:tr>
      <w:tr w14:paraId="2887CF9F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0" w:type="dxa"/>
            <w:tcBorders>
              <w:tl2br w:val="nil"/>
              <w:tr2bl w:val="nil"/>
            </w:tcBorders>
            <w:vAlign w:val="center"/>
          </w:tcPr>
          <w:p w14:paraId="4AF678C3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shd w:val="clear" w:color="auto" w:fill="FAFAFA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pCold-TF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-R</w:t>
            </w:r>
          </w:p>
        </w:tc>
        <w:tc>
          <w:tcPr>
            <w:tcW w:w="3817" w:type="dxa"/>
            <w:tcBorders>
              <w:tl2br w:val="nil"/>
              <w:tr2bl w:val="nil"/>
            </w:tcBorders>
            <w:vAlign w:val="center"/>
          </w:tcPr>
          <w:p w14:paraId="74B26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aps/>
                <w:smallCap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/>
                <w:smallCap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agactgcaggtcgac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/>
                <w:smallCaps w:val="0"/>
                <w:color w:val="000000"/>
                <w:kern w:val="0"/>
                <w:sz w:val="21"/>
                <w:szCs w:val="21"/>
                <w:u w:val="thick"/>
                <w:lang w:val="en-US" w:eastAsia="zh-CN" w:bidi="ar"/>
              </w:rPr>
              <w:t>aagctt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/>
                <w:smallCap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TTAATGATGATGGTGATGATGTTTCG</w:t>
            </w:r>
          </w:p>
        </w:tc>
        <w:tc>
          <w:tcPr>
            <w:tcW w:w="915" w:type="dxa"/>
            <w:tcBorders>
              <w:tl2br w:val="nil"/>
              <w:tr2bl w:val="nil"/>
            </w:tcBorders>
            <w:vAlign w:val="center"/>
          </w:tcPr>
          <w:p w14:paraId="43A2DA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shd w:val="clear" w:color="auto" w:fill="FAFAFA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47</w:t>
            </w:r>
          </w:p>
        </w:tc>
        <w:tc>
          <w:tcPr>
            <w:tcW w:w="1476" w:type="dxa"/>
            <w:tcBorders>
              <w:tl2br w:val="nil"/>
              <w:tr2bl w:val="nil"/>
            </w:tcBorders>
            <w:vAlign w:val="center"/>
          </w:tcPr>
          <w:p w14:paraId="2B654E19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shd w:val="clear" w:color="auto" w:fill="FAFAFA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shd w:val="clear" w:color="auto" w:fill="FAFAFA"/>
                <w:lang w:val="en-US" w:eastAsia="zh-CN" w:bidi="ar-SA"/>
              </w:rPr>
              <w:t>42.6</w:t>
            </w:r>
          </w:p>
        </w:tc>
        <w:tc>
          <w:tcPr>
            <w:tcW w:w="1057" w:type="dxa"/>
            <w:tcBorders>
              <w:tl2br w:val="nil"/>
              <w:tr2bl w:val="nil"/>
            </w:tcBorders>
            <w:vAlign w:val="center"/>
          </w:tcPr>
          <w:p w14:paraId="3F9D1799">
            <w:pPr>
              <w:pStyle w:val="14"/>
              <w:spacing w:line="36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shd w:val="clear" w:color="auto" w:fill="FAFAFA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shd w:val="clear" w:color="auto" w:fill="FAFAFA"/>
                <w:lang w:val="en-US" w:eastAsia="zh-CN" w:bidi="ar-SA"/>
              </w:rPr>
              <w:t>66.7</w:t>
            </w:r>
          </w:p>
        </w:tc>
      </w:tr>
    </w:tbl>
    <w:p w14:paraId="344539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2" w:firstLineChars="200"/>
        <w:jc w:val="left"/>
        <w:textAlignment w:val="auto"/>
        <w:rPr>
          <w:rFonts w:hint="default" w:ascii="Times New Roman" w:hAnsi="Times New Roman" w:eastAsia="宋体" w:cs="Times New Roman"/>
          <w:b/>
          <w:bCs/>
          <w:kern w:val="0"/>
          <w:sz w:val="24"/>
          <w:szCs w:val="24"/>
          <w:lang w:val="en-US" w:eastAsia="zh-CN"/>
        </w:rPr>
      </w:pPr>
    </w:p>
    <w:p w14:paraId="4B47C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157345" cy="296418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7345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8612B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图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instrText xml:space="preserve"> SEQ 图 \* ARABIC </w:instrTex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fldChar w:fldCharType="end"/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 pCold-TF质粒图谱</w:t>
      </w:r>
    </w:p>
    <w:p w14:paraId="6BC6B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lang w:val="en-US" w:eastAsia="zh-CN"/>
        </w:rPr>
      </w:pPr>
    </w:p>
    <w:p w14:paraId="1E7F7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both"/>
        <w:textAlignment w:val="auto"/>
        <w:outlineLvl w:val="3"/>
        <w:rPr>
          <w:rFonts w:hint="default" w:ascii="Times New Roman" w:hAnsi="Times New Roman" w:eastAsia="黑体" w:cs="Times New Roman"/>
          <w:b/>
          <w:bCs/>
          <w:kern w:val="0"/>
          <w:sz w:val="24"/>
          <w:szCs w:val="24"/>
          <w:lang w:val="en-US" w:eastAsia="zh-CN"/>
        </w:rPr>
      </w:pPr>
      <w:r>
        <w:rPr>
          <w:rStyle w:val="13"/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3.5.1.2 </w:t>
      </w:r>
      <w:r>
        <w:rPr>
          <w:rFonts w:hint="default" w:ascii="Times New Roman" w:hAnsi="Times New Roman" w:eastAsia="黑体" w:cs="Times New Roman"/>
          <w:b/>
          <w:bCs/>
          <w:i/>
          <w:iCs/>
          <w:strike w:val="0"/>
          <w:dstrike w:val="0"/>
          <w:kern w:val="0"/>
          <w:sz w:val="24"/>
          <w:szCs w:val="24"/>
          <w:lang w:val="en-US" w:eastAsia="zh-CN"/>
        </w:rPr>
        <w:t>bbt</w:t>
      </w:r>
      <w:r>
        <w:rPr>
          <w:rFonts w:hint="default" w:ascii="Times New Roman" w:hAnsi="Times New Roman" w:eastAsia="黑体" w:cs="Times New Roman"/>
          <w:b/>
          <w:bCs/>
          <w:kern w:val="0"/>
          <w:sz w:val="24"/>
          <w:szCs w:val="24"/>
          <w:lang w:val="en-US" w:eastAsia="zh-CN"/>
        </w:rPr>
        <w:t>基因PCR扩增与回收</w:t>
      </w:r>
    </w:p>
    <w:p w14:paraId="7C23B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以多表位重组抗原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cbbt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基因为模板进行PCR扩增，反应条件为：98 ℃预变性1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min；98 ℃变性30 s，47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℃退火30 s，72 ℃延伸45 s，30次循环；72 ℃延伸10 min，PCR体系见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instrText xml:space="preserve"> REF _Ref5841 \h </w:instrTex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表4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。琼脂糖凝胶电泳检测PCR产物，并使用DNA纯化回收试剂盒回收目的基因，于-20 ℃保存。</w:t>
      </w:r>
    </w:p>
    <w:p w14:paraId="5E4FF991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</w:pPr>
      <w:bookmarkStart w:id="5" w:name="_Ref5841"/>
      <w:commentRangeStart w:id="3"/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t>表</w:t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instrText xml:space="preserve"> SEQ 表 \* ARABIC </w:instrText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fldChar w:fldCharType="end"/>
      </w:r>
      <w:bookmarkEnd w:id="5"/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t xml:space="preserve"> PCR</w:t>
      </w:r>
      <w:r>
        <w:rPr>
          <w:rFonts w:hint="eastAsia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t xml:space="preserve"> 25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</w:rPr>
        <w:t>μL</w:t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t>体系</w:t>
      </w:r>
      <w:commentRangeEnd w:id="3"/>
      <w:r>
        <w:commentReference w:id="3"/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7EFF0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  <w:tcBorders>
              <w:top w:val="single" w:color="auto" w:sz="12" w:space="0"/>
              <w:left w:val="nil"/>
              <w:bottom w:val="single" w:color="auto" w:sz="8" w:space="0"/>
            </w:tcBorders>
            <w:vAlign w:val="top"/>
          </w:tcPr>
          <w:p w14:paraId="5E14A6A2">
            <w:pPr>
              <w:ind w:firstLine="420" w:firstLineChars="200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成分</w:t>
            </w:r>
          </w:p>
        </w:tc>
        <w:tc>
          <w:tcPr>
            <w:tcW w:w="4148" w:type="dxa"/>
            <w:tcBorders>
              <w:top w:val="single" w:color="auto" w:sz="12" w:space="0"/>
              <w:bottom w:val="single" w:color="auto" w:sz="8" w:space="0"/>
              <w:right w:val="nil"/>
            </w:tcBorders>
            <w:vAlign w:val="top"/>
          </w:tcPr>
          <w:p w14:paraId="0ED8C87F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体积（μL）</w:t>
            </w:r>
          </w:p>
        </w:tc>
      </w:tr>
      <w:tr w14:paraId="3032C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  <w:tcBorders>
              <w:top w:val="single" w:color="auto" w:sz="8" w:space="0"/>
              <w:left w:val="nil"/>
            </w:tcBorders>
            <w:vAlign w:val="top"/>
          </w:tcPr>
          <w:p w14:paraId="2B51E9F4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2×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  <w:t xml:space="preserve">TransStart </w:t>
            </w:r>
            <w:r>
              <w:rPr>
                <w:rFonts w:hint="default" w:ascii="Times New Roman" w:hAnsi="Times New Roman" w:eastAsia="宋体" w:cs="Times New Roman"/>
                <w:i/>
                <w:iCs/>
                <w:kern w:val="0"/>
                <w:sz w:val="21"/>
                <w:szCs w:val="21"/>
                <w:lang w:val="en-US" w:eastAsia="zh-CN"/>
              </w:rPr>
              <w:t xml:space="preserve">FastPfu 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  <w:t>Fly PCR SuperMix</w:t>
            </w:r>
          </w:p>
        </w:tc>
        <w:tc>
          <w:tcPr>
            <w:tcW w:w="4148" w:type="dxa"/>
            <w:tcBorders>
              <w:top w:val="single" w:color="auto" w:sz="8" w:space="0"/>
              <w:right w:val="nil"/>
            </w:tcBorders>
            <w:vAlign w:val="top"/>
          </w:tcPr>
          <w:p w14:paraId="5B36D9DE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12.5</w:t>
            </w:r>
          </w:p>
        </w:tc>
      </w:tr>
      <w:tr w14:paraId="756C1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  <w:tcBorders>
              <w:left w:val="nil"/>
            </w:tcBorders>
            <w:vAlign w:val="top"/>
          </w:tcPr>
          <w:p w14:paraId="7645E5D2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  <w:t>bbt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  <w:shd w:val="clear" w:color="auto" w:fill="FAFAFA"/>
                <w:lang w:val="en-US" w:eastAsia="zh-CN"/>
              </w:rPr>
              <w:t>-F</w:t>
            </w:r>
          </w:p>
        </w:tc>
        <w:tc>
          <w:tcPr>
            <w:tcW w:w="4148" w:type="dxa"/>
            <w:tcBorders>
              <w:right w:val="nil"/>
            </w:tcBorders>
            <w:vAlign w:val="top"/>
          </w:tcPr>
          <w:p w14:paraId="0E764064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1</w:t>
            </w:r>
          </w:p>
        </w:tc>
      </w:tr>
      <w:tr w14:paraId="16CC6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  <w:tcBorders>
              <w:left w:val="nil"/>
            </w:tcBorders>
            <w:vAlign w:val="top"/>
          </w:tcPr>
          <w:p w14:paraId="265A98F0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i/>
                <w:iCs/>
                <w:sz w:val="21"/>
                <w:szCs w:val="21"/>
                <w:lang w:val="en-US" w:eastAsia="zh-CN"/>
              </w:rPr>
              <w:t>bbt</w:t>
            </w:r>
            <w:r>
              <w:rPr>
                <w:rFonts w:hint="default" w:ascii="Times New Roman" w:hAnsi="Times New Roman" w:eastAsia="宋体" w:cs="Times New Roman"/>
                <w:bCs/>
                <w:i/>
                <w:iCs/>
                <w:sz w:val="21"/>
                <w:szCs w:val="21"/>
              </w:rPr>
              <w:t>-</w:t>
            </w:r>
            <w:r>
              <w:rPr>
                <w:rFonts w:hint="default" w:ascii="Times New Roman" w:hAnsi="Times New Roman" w:eastAsia="宋体" w:cs="Times New Roman"/>
                <w:bCs/>
                <w:sz w:val="21"/>
                <w:szCs w:val="21"/>
              </w:rPr>
              <w:t>R</w:t>
            </w:r>
          </w:p>
        </w:tc>
        <w:tc>
          <w:tcPr>
            <w:tcW w:w="4148" w:type="dxa"/>
            <w:tcBorders>
              <w:right w:val="nil"/>
            </w:tcBorders>
            <w:vAlign w:val="top"/>
          </w:tcPr>
          <w:p w14:paraId="42FE60BC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1</w:t>
            </w:r>
          </w:p>
        </w:tc>
      </w:tr>
      <w:tr w14:paraId="1C646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  <w:tcBorders>
              <w:left w:val="nil"/>
            </w:tcBorders>
            <w:vAlign w:val="top"/>
          </w:tcPr>
          <w:p w14:paraId="6033527B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kern w:val="0"/>
                <w:sz w:val="21"/>
                <w:szCs w:val="21"/>
                <w:lang w:val="en-US" w:eastAsia="zh-CN"/>
              </w:rPr>
              <w:t xml:space="preserve">cbbt 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DNA</w:t>
            </w:r>
          </w:p>
        </w:tc>
        <w:tc>
          <w:tcPr>
            <w:tcW w:w="4148" w:type="dxa"/>
            <w:tcBorders>
              <w:right w:val="nil"/>
            </w:tcBorders>
            <w:vAlign w:val="top"/>
          </w:tcPr>
          <w:p w14:paraId="066BAE57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2</w:t>
            </w:r>
          </w:p>
        </w:tc>
      </w:tr>
      <w:tr w14:paraId="3FE11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  <w:jc w:val="center"/>
        </w:trPr>
        <w:tc>
          <w:tcPr>
            <w:tcW w:w="4148" w:type="dxa"/>
            <w:tcBorders>
              <w:left w:val="nil"/>
              <w:bottom w:val="nil"/>
            </w:tcBorders>
            <w:vAlign w:val="top"/>
          </w:tcPr>
          <w:p w14:paraId="51139ACD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ddH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vertAlign w:val="subscript"/>
              </w:rPr>
              <w:t>2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O</w:t>
            </w:r>
          </w:p>
        </w:tc>
        <w:tc>
          <w:tcPr>
            <w:tcW w:w="4148" w:type="dxa"/>
            <w:tcBorders>
              <w:bottom w:val="nil"/>
              <w:right w:val="nil"/>
            </w:tcBorders>
            <w:vAlign w:val="top"/>
          </w:tcPr>
          <w:p w14:paraId="7E37AD72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8.5</w:t>
            </w:r>
          </w:p>
        </w:tc>
      </w:tr>
      <w:tr w14:paraId="641BB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  <w:tcBorders>
              <w:top w:val="nil"/>
              <w:left w:val="nil"/>
              <w:bottom w:val="single" w:color="auto" w:sz="12" w:space="0"/>
            </w:tcBorders>
            <w:vAlign w:val="top"/>
          </w:tcPr>
          <w:p w14:paraId="764244D3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Total volume</w:t>
            </w:r>
          </w:p>
        </w:tc>
        <w:tc>
          <w:tcPr>
            <w:tcW w:w="4148" w:type="dxa"/>
            <w:tcBorders>
              <w:top w:val="nil"/>
              <w:bottom w:val="single" w:color="auto" w:sz="12" w:space="0"/>
              <w:right w:val="nil"/>
            </w:tcBorders>
            <w:vAlign w:val="top"/>
          </w:tcPr>
          <w:p w14:paraId="40FCAEAB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25</w:t>
            </w:r>
          </w:p>
        </w:tc>
      </w:tr>
    </w:tbl>
    <w:p w14:paraId="250CC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5239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both"/>
        <w:textAlignment w:val="auto"/>
        <w:outlineLvl w:val="2"/>
        <w:rPr>
          <w:rFonts w:hint="default" w:ascii="Times New Roman" w:hAnsi="Times New Roman" w:eastAsia="黑体" w:cs="Times New Roman"/>
          <w:b/>
          <w:bCs/>
          <w:i w:val="0"/>
          <w:iCs w:val="0"/>
          <w:strike w:val="0"/>
          <w:dstrike w:val="0"/>
          <w:kern w:val="0"/>
          <w:sz w:val="24"/>
          <w:szCs w:val="24"/>
          <w:lang w:val="en-US" w:eastAsia="zh-CN"/>
        </w:rPr>
      </w:pPr>
      <w:bookmarkStart w:id="6" w:name="_Toc6994"/>
      <w:bookmarkStart w:id="7" w:name="_Toc19210"/>
      <w:r>
        <w:rPr>
          <w:rStyle w:val="15"/>
          <w:rFonts w:hint="default" w:ascii="Times New Roman" w:hAnsi="Times New Roman" w:eastAsia="黑体" w:cs="Times New Roman"/>
          <w:sz w:val="24"/>
          <w:szCs w:val="24"/>
          <w:lang w:val="en-US" w:eastAsia="zh-CN"/>
        </w:rPr>
        <w:t>3.5.2</w:t>
      </w:r>
      <w:r>
        <w:rPr>
          <w:rFonts w:hint="default" w:ascii="Times New Roman" w:hAnsi="Times New Roman" w:eastAsia="黑体" w:cs="Times New Roman"/>
          <w:b/>
          <w:bCs/>
          <w:i w:val="0"/>
          <w:iCs w:val="0"/>
          <w:strike w:val="0"/>
          <w:dstrike w:val="0"/>
          <w:kern w:val="0"/>
          <w:sz w:val="24"/>
          <w:szCs w:val="24"/>
          <w:lang w:val="en-US" w:eastAsia="zh-CN"/>
        </w:rPr>
        <w:t>克隆菌株的构建</w:t>
      </w:r>
      <w:bookmarkEnd w:id="6"/>
      <w:bookmarkEnd w:id="7"/>
    </w:p>
    <w:p w14:paraId="0DC6F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strike w:val="0"/>
          <w:dstrike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trike w:val="0"/>
          <w:dstrike w:val="0"/>
          <w:kern w:val="0"/>
          <w:sz w:val="24"/>
          <w:szCs w:val="24"/>
          <w:lang w:val="en-US" w:eastAsia="zh-CN"/>
        </w:rPr>
        <w:t>分别以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strike w:val="0"/>
          <w:dstrike w:val="0"/>
          <w:kern w:val="0"/>
          <w:sz w:val="24"/>
          <w:szCs w:val="24"/>
          <w:lang w:val="en-US" w:eastAsia="zh-CN"/>
        </w:rPr>
        <w:t>cbbt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trike w:val="0"/>
          <w:dstrike w:val="0"/>
          <w:kern w:val="0"/>
          <w:sz w:val="24"/>
          <w:szCs w:val="24"/>
          <w:lang w:val="en-US" w:eastAsia="zh-CN"/>
        </w:rPr>
        <w:t>和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strike w:val="0"/>
          <w:dstrike w:val="0"/>
          <w:kern w:val="0"/>
          <w:sz w:val="24"/>
          <w:szCs w:val="24"/>
          <w:lang w:val="en-US" w:eastAsia="zh-CN"/>
        </w:rPr>
        <w:t>bbt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trike w:val="0"/>
          <w:dstrike w:val="0"/>
          <w:kern w:val="0"/>
          <w:sz w:val="24"/>
          <w:szCs w:val="24"/>
          <w:lang w:val="en-US" w:eastAsia="zh-CN"/>
        </w:rPr>
        <w:t>基因为模板，使用对应的无缝克隆引物进行PCR扩增，退火温度分别为60 ℃和62℃，其他反应条件同3.5.1.2。琼脂糖凝胶电泳检测PCR产物，并使用DNA纯化回收试剂盒回收目的基因，于-20 ℃保存。</w:t>
      </w:r>
    </w:p>
    <w:p w14:paraId="53052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strike w:val="0"/>
          <w:dstrike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trike w:val="0"/>
          <w:dstrike w:val="0"/>
          <w:kern w:val="0"/>
          <w:sz w:val="24"/>
          <w:szCs w:val="24"/>
          <w:lang w:val="en-US" w:eastAsia="zh-CN"/>
        </w:rPr>
        <w:t>使用限制性核酸内切酶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strike w:val="0"/>
          <w:dstrike w:val="0"/>
          <w:kern w:val="0"/>
          <w:sz w:val="24"/>
          <w:szCs w:val="24"/>
          <w:lang w:val="en-US" w:eastAsia="zh-CN"/>
        </w:rPr>
        <w:t xml:space="preserve">Nde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trike w:val="0"/>
          <w:dstrike w:val="0"/>
          <w:kern w:val="0"/>
          <w:sz w:val="24"/>
          <w:szCs w:val="24"/>
          <w:lang w:val="en-US" w:eastAsia="zh-CN"/>
        </w:rPr>
        <w:t>I和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strike w:val="0"/>
          <w:dstrike w:val="0"/>
          <w:kern w:val="0"/>
          <w:sz w:val="24"/>
          <w:szCs w:val="24"/>
          <w:lang w:val="en-US" w:eastAsia="zh-CN"/>
        </w:rPr>
        <w:t xml:space="preserve">Hind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trike w:val="0"/>
          <w:dstrike w:val="0"/>
          <w:kern w:val="0"/>
          <w:sz w:val="24"/>
          <w:szCs w:val="24"/>
          <w:lang w:val="en-US" w:eastAsia="zh-CN"/>
        </w:rPr>
        <w:t>III对pCold-TF质粒进行双酶切，获得线性化载体，反应条件为37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strike w:val="0"/>
          <w:dstrike w:val="0"/>
          <w:kern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trike w:val="0"/>
          <w:dstrike w:val="0"/>
          <w:kern w:val="0"/>
          <w:sz w:val="24"/>
          <w:szCs w:val="24"/>
          <w:lang w:val="en-US" w:eastAsia="zh-CN"/>
        </w:rPr>
        <w:t>℃水浴20 min，反应体系见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trike w:val="0"/>
          <w:dstrike w:val="0"/>
          <w:kern w:val="0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trike w:val="0"/>
          <w:dstrike w:val="0"/>
          <w:kern w:val="0"/>
          <w:sz w:val="24"/>
          <w:szCs w:val="24"/>
          <w:lang w:val="en-US" w:eastAsia="zh-CN"/>
        </w:rPr>
        <w:instrText xml:space="preserve"> REF _Ref5992 \h </w:instrTex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trike w:val="0"/>
          <w:dstrike w:val="0"/>
          <w:kern w:val="0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trike w:val="0"/>
          <w:dstrike w:val="0"/>
          <w:kern w:val="0"/>
          <w:sz w:val="24"/>
          <w:szCs w:val="24"/>
          <w:lang w:val="en-US" w:eastAsia="zh-CN"/>
        </w:rPr>
        <w:t>表5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trike w:val="0"/>
          <w:dstrike w:val="0"/>
          <w:kern w:val="0"/>
          <w:sz w:val="24"/>
          <w:szCs w:val="24"/>
          <w:lang w:val="en-US" w:eastAsia="zh-CN"/>
        </w:rPr>
        <w:fldChar w:fldCharType="end"/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trike w:val="0"/>
          <w:dstrike w:val="0"/>
          <w:kern w:val="0"/>
          <w:sz w:val="24"/>
          <w:szCs w:val="24"/>
          <w:lang w:val="en-US" w:eastAsia="zh-CN"/>
        </w:rPr>
        <w:t>。</w:t>
      </w:r>
    </w:p>
    <w:p w14:paraId="67442186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</w:pPr>
      <w:bookmarkStart w:id="8" w:name="_Ref5992"/>
      <w:commentRangeStart w:id="4"/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t>表</w:t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instrText xml:space="preserve"> SEQ 表 \* ARABIC </w:instrText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fldChar w:fldCharType="end"/>
      </w:r>
      <w:bookmarkEnd w:id="8"/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t xml:space="preserve"> 双酶切体系</w:t>
      </w:r>
      <w:commentRangeEnd w:id="4"/>
      <w:r>
        <w:commentReference w:id="4"/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1F3AB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  <w:tcBorders>
              <w:top w:val="single" w:color="auto" w:sz="12" w:space="0"/>
              <w:left w:val="nil"/>
              <w:bottom w:val="single" w:color="auto" w:sz="8" w:space="0"/>
            </w:tcBorders>
            <w:vAlign w:val="top"/>
          </w:tcPr>
          <w:p w14:paraId="06EBA382">
            <w:pPr>
              <w:ind w:firstLine="420" w:firstLineChars="200"/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成分</w:t>
            </w:r>
          </w:p>
        </w:tc>
        <w:tc>
          <w:tcPr>
            <w:tcW w:w="4148" w:type="dxa"/>
            <w:tcBorders>
              <w:top w:val="single" w:color="auto" w:sz="12" w:space="0"/>
              <w:bottom w:val="single" w:color="auto" w:sz="8" w:space="0"/>
              <w:right w:val="nil"/>
            </w:tcBorders>
            <w:vAlign w:val="top"/>
          </w:tcPr>
          <w:p w14:paraId="22DA6C94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  <w:t>加入量</w:t>
            </w:r>
          </w:p>
        </w:tc>
      </w:tr>
      <w:tr w14:paraId="3EF56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  <w:tcBorders>
              <w:top w:val="single" w:color="auto" w:sz="8" w:space="0"/>
              <w:left w:val="nil"/>
            </w:tcBorders>
            <w:vAlign w:val="top"/>
          </w:tcPr>
          <w:p w14:paraId="4D440890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×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  <w:t>SwiftCut Color Buffer</w:t>
            </w:r>
          </w:p>
        </w:tc>
        <w:tc>
          <w:tcPr>
            <w:tcW w:w="4148" w:type="dxa"/>
            <w:tcBorders>
              <w:top w:val="single" w:color="auto" w:sz="8" w:space="0"/>
              <w:right w:val="nil"/>
            </w:tcBorders>
            <w:vAlign w:val="top"/>
          </w:tcPr>
          <w:p w14:paraId="742EB574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μL</w:t>
            </w:r>
          </w:p>
        </w:tc>
      </w:tr>
      <w:tr w14:paraId="165B5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  <w:tcBorders>
              <w:left w:val="nil"/>
            </w:tcBorders>
            <w:vAlign w:val="top"/>
          </w:tcPr>
          <w:p w14:paraId="619AE2CF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  <w:t xml:space="preserve">SwiftCut </w:t>
            </w:r>
            <w:r>
              <w:rPr>
                <w:rFonts w:hint="default" w:ascii="Times New Roman" w:hAnsi="Times New Roman" w:eastAsia="宋体" w:cs="Times New Roman"/>
                <w:i/>
                <w:iCs/>
                <w:sz w:val="21"/>
                <w:szCs w:val="21"/>
                <w:lang w:val="en-US" w:eastAsia="zh-CN"/>
              </w:rPr>
              <w:t>Nde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  <w:szCs w:val="21"/>
              </w:rPr>
              <w:t>I</w:t>
            </w:r>
          </w:p>
        </w:tc>
        <w:tc>
          <w:tcPr>
            <w:tcW w:w="4148" w:type="dxa"/>
            <w:tcBorders>
              <w:right w:val="nil"/>
            </w:tcBorders>
            <w:vAlign w:val="top"/>
          </w:tcPr>
          <w:p w14:paraId="2B544A56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μL</w:t>
            </w:r>
          </w:p>
        </w:tc>
      </w:tr>
      <w:tr w14:paraId="21B31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  <w:tcBorders>
              <w:left w:val="nil"/>
            </w:tcBorders>
            <w:vAlign w:val="top"/>
          </w:tcPr>
          <w:p w14:paraId="4D1653B5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  <w:t xml:space="preserve">SwiftCut </w:t>
            </w:r>
            <w:r>
              <w:rPr>
                <w:rFonts w:hint="default" w:ascii="Times New Roman" w:hAnsi="Times New Roman" w:eastAsia="宋体" w:cs="Times New Roman"/>
                <w:i/>
                <w:iCs/>
                <w:sz w:val="21"/>
                <w:szCs w:val="21"/>
                <w:lang w:val="en-US" w:eastAsia="zh-CN"/>
              </w:rPr>
              <w:t xml:space="preserve">Hind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1"/>
                <w:szCs w:val="21"/>
              </w:rPr>
              <w:t>III</w:t>
            </w:r>
          </w:p>
        </w:tc>
        <w:tc>
          <w:tcPr>
            <w:tcW w:w="4148" w:type="dxa"/>
            <w:tcBorders>
              <w:right w:val="nil"/>
            </w:tcBorders>
            <w:vAlign w:val="top"/>
          </w:tcPr>
          <w:p w14:paraId="5E8E035B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μL</w:t>
            </w:r>
          </w:p>
        </w:tc>
      </w:tr>
      <w:tr w14:paraId="78307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  <w:tcBorders>
              <w:left w:val="nil"/>
            </w:tcBorders>
            <w:vAlign w:val="top"/>
          </w:tcPr>
          <w:p w14:paraId="50B78185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 xml:space="preserve"> 质粒DNA</w:t>
            </w:r>
          </w:p>
        </w:tc>
        <w:tc>
          <w:tcPr>
            <w:tcW w:w="4148" w:type="dxa"/>
            <w:tcBorders>
              <w:right w:val="nil"/>
            </w:tcBorders>
            <w:vAlign w:val="top"/>
          </w:tcPr>
          <w:p w14:paraId="15230E62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  <w:t>≤1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μ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  <w:t>g</w:t>
            </w:r>
          </w:p>
        </w:tc>
      </w:tr>
      <w:tr w14:paraId="32FED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  <w:jc w:val="center"/>
        </w:trPr>
        <w:tc>
          <w:tcPr>
            <w:tcW w:w="4148" w:type="dxa"/>
            <w:tcBorders>
              <w:left w:val="nil"/>
              <w:bottom w:val="nil"/>
            </w:tcBorders>
            <w:vAlign w:val="top"/>
          </w:tcPr>
          <w:p w14:paraId="27CEA3EC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ddH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vertAlign w:val="subscript"/>
              </w:rPr>
              <w:t>2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O</w:t>
            </w:r>
          </w:p>
        </w:tc>
        <w:tc>
          <w:tcPr>
            <w:tcW w:w="4148" w:type="dxa"/>
            <w:tcBorders>
              <w:bottom w:val="nil"/>
              <w:right w:val="nil"/>
            </w:tcBorders>
            <w:vAlign w:val="top"/>
          </w:tcPr>
          <w:p w14:paraId="2A747DC8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  <w:t>variable</w:t>
            </w:r>
          </w:p>
        </w:tc>
      </w:tr>
      <w:tr w14:paraId="291CA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  <w:tcBorders>
              <w:top w:val="nil"/>
              <w:left w:val="nil"/>
              <w:bottom w:val="single" w:color="auto" w:sz="12" w:space="0"/>
            </w:tcBorders>
            <w:vAlign w:val="top"/>
          </w:tcPr>
          <w:p w14:paraId="4F957946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Total volume</w:t>
            </w:r>
          </w:p>
        </w:tc>
        <w:tc>
          <w:tcPr>
            <w:tcW w:w="4148" w:type="dxa"/>
            <w:tcBorders>
              <w:top w:val="nil"/>
              <w:bottom w:val="single" w:color="auto" w:sz="12" w:space="0"/>
              <w:right w:val="nil"/>
            </w:tcBorders>
            <w:vAlign w:val="top"/>
          </w:tcPr>
          <w:p w14:paraId="5AAB4B58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eastAsia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μL</w:t>
            </w:r>
          </w:p>
        </w:tc>
      </w:tr>
    </w:tbl>
    <w:p w14:paraId="16599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>将回收的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trike w:val="0"/>
          <w:dstrike w:val="0"/>
          <w:kern w:val="0"/>
          <w:sz w:val="24"/>
          <w:szCs w:val="24"/>
          <w:lang w:val="en-US" w:eastAsia="zh-CN"/>
        </w:rPr>
        <w:t>无缝克隆产物</w:t>
      </w:r>
      <w:r>
        <w:rPr>
          <w:rFonts w:hint="default" w:ascii="Times New Roman" w:hAnsi="Times New Roman" w:eastAsia="宋体" w:cs="Times New Roman"/>
          <w:i/>
          <w:iCs/>
          <w:kern w:val="0"/>
          <w:sz w:val="24"/>
          <w:szCs w:val="24"/>
          <w:lang w:val="en-US" w:eastAsia="zh-CN"/>
        </w:rPr>
        <w:t>wk-cbbt，wk-bbt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strike w:val="0"/>
          <w:dstrike w:val="0"/>
          <w:kern w:val="0"/>
          <w:sz w:val="24"/>
          <w:szCs w:val="24"/>
          <w:lang w:val="en-US" w:eastAsia="zh-CN"/>
        </w:rPr>
        <w:t>分别与双酶切后的pCold-TF线性化载体于50 ℃下水浴连接20 min，反应结束后立即置于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冰上冷却2 min待转化，重组连接反应体系见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instrText xml:space="preserve"> REF _Ref6161 \h </w:instrTex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表6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。</w:t>
      </w:r>
    </w:p>
    <w:p w14:paraId="56291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1F196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15F87A28">
      <w:pPr>
        <w:pStyle w:val="6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0" w:firstLine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</w:pPr>
      <w:bookmarkStart w:id="9" w:name="_Ref6161"/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t>表</w:t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fldChar w:fldCharType="begin"/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instrText xml:space="preserve"> SEQ 表 \* ARABIC </w:instrText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fldChar w:fldCharType="separate"/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fldChar w:fldCharType="end"/>
      </w:r>
      <w:bookmarkEnd w:id="9"/>
      <w:r>
        <w:rPr>
          <w:rFonts w:hint="default" w:ascii="Times New Roman" w:hAnsi="Times New Roman" w:eastAsia="宋体" w:cs="Times New Roman"/>
          <w:b/>
          <w:bCs/>
          <w:color w:val="auto"/>
          <w:kern w:val="0"/>
          <w:sz w:val="21"/>
          <w:szCs w:val="21"/>
          <w:highlight w:val="none"/>
          <w:lang w:val="en-US" w:eastAsia="zh-CN"/>
        </w:rPr>
        <w:t xml:space="preserve"> 连接体系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4FF19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  <w:tcBorders>
              <w:top w:val="single" w:color="auto" w:sz="12" w:space="0"/>
              <w:left w:val="nil"/>
              <w:bottom w:val="single" w:color="auto" w:sz="8" w:space="0"/>
            </w:tcBorders>
            <w:vAlign w:val="top"/>
          </w:tcPr>
          <w:p w14:paraId="0F70D4F1">
            <w:pPr>
              <w:ind w:firstLine="420" w:firstLineChars="20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组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</w:rPr>
              <w:t>分</w:t>
            </w:r>
          </w:p>
        </w:tc>
        <w:tc>
          <w:tcPr>
            <w:tcW w:w="4148" w:type="dxa"/>
            <w:tcBorders>
              <w:top w:val="single" w:color="auto" w:sz="12" w:space="0"/>
              <w:bottom w:val="single" w:color="auto" w:sz="8" w:space="0"/>
              <w:right w:val="nil"/>
            </w:tcBorders>
            <w:vAlign w:val="top"/>
          </w:tcPr>
          <w:p w14:paraId="3AA81722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  <w:t>加入量</w:t>
            </w:r>
          </w:p>
        </w:tc>
      </w:tr>
      <w:tr w14:paraId="7EABE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  <w:tcBorders>
              <w:top w:val="single" w:color="auto" w:sz="8" w:space="0"/>
              <w:left w:val="nil"/>
            </w:tcBorders>
            <w:vAlign w:val="top"/>
          </w:tcPr>
          <w:p w14:paraId="1C7E5DE4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</w:rPr>
              <w:t>×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Seamless cloning Master Mix</w:t>
            </w:r>
          </w:p>
        </w:tc>
        <w:tc>
          <w:tcPr>
            <w:tcW w:w="4148" w:type="dxa"/>
            <w:tcBorders>
              <w:top w:val="single" w:color="auto" w:sz="8" w:space="0"/>
              <w:right w:val="nil"/>
            </w:tcBorders>
            <w:vAlign w:val="top"/>
          </w:tcPr>
          <w:p w14:paraId="0CE10574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 xml:space="preserve">10 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μL</w:t>
            </w:r>
          </w:p>
        </w:tc>
      </w:tr>
      <w:tr w14:paraId="461EC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  <w:tcBorders>
              <w:left w:val="nil"/>
            </w:tcBorders>
            <w:vAlign w:val="top"/>
          </w:tcPr>
          <w:p w14:paraId="4740442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线性化载体</w:t>
            </w:r>
          </w:p>
        </w:tc>
        <w:tc>
          <w:tcPr>
            <w:tcW w:w="4148" w:type="dxa"/>
            <w:tcBorders>
              <w:right w:val="nil"/>
            </w:tcBorders>
            <w:vAlign w:val="top"/>
          </w:tcPr>
          <w:p w14:paraId="333BD4F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70 ng</w:t>
            </w:r>
          </w:p>
        </w:tc>
      </w:tr>
      <w:tr w14:paraId="504EA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  <w:tcBorders>
              <w:left w:val="nil"/>
            </w:tcBorders>
            <w:vAlign w:val="top"/>
          </w:tcPr>
          <w:p w14:paraId="29DD22E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i/>
                <w:iCs/>
                <w:kern w:val="0"/>
                <w:sz w:val="21"/>
                <w:szCs w:val="21"/>
                <w:lang w:val="en-US" w:eastAsia="zh-CN"/>
              </w:rPr>
              <w:t>wk-cbbt/wk-bbt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kern w:val="0"/>
                <w:sz w:val="21"/>
                <w:szCs w:val="21"/>
                <w:lang w:val="en-US" w:eastAsia="zh-CN"/>
              </w:rPr>
              <w:t>基因</w:t>
            </w:r>
          </w:p>
        </w:tc>
        <w:tc>
          <w:tcPr>
            <w:tcW w:w="4148" w:type="dxa"/>
            <w:tcBorders>
              <w:right w:val="nil"/>
            </w:tcBorders>
            <w:vAlign w:val="top"/>
          </w:tcPr>
          <w:p w14:paraId="35C8448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500/650 ng</w:t>
            </w:r>
          </w:p>
        </w:tc>
      </w:tr>
      <w:tr w14:paraId="6E52C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" w:hRule="atLeast"/>
          <w:jc w:val="center"/>
        </w:trPr>
        <w:tc>
          <w:tcPr>
            <w:tcW w:w="4148" w:type="dxa"/>
            <w:tcBorders>
              <w:left w:val="nil"/>
              <w:bottom w:val="nil"/>
            </w:tcBorders>
            <w:vAlign w:val="top"/>
          </w:tcPr>
          <w:p w14:paraId="257126EB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Sterilized dd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</w:rPr>
              <w:t>H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vertAlign w:val="subscript"/>
              </w:rPr>
              <w:t>2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</w:rPr>
              <w:t>O</w:t>
            </w:r>
          </w:p>
        </w:tc>
        <w:tc>
          <w:tcPr>
            <w:tcW w:w="4148" w:type="dxa"/>
            <w:tcBorders>
              <w:bottom w:val="nil"/>
              <w:right w:val="nil"/>
            </w:tcBorders>
            <w:vAlign w:val="top"/>
          </w:tcPr>
          <w:p w14:paraId="6ECEF08D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 xml:space="preserve">≤1 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μ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  <w:lang w:val="en-US" w:eastAsia="zh-CN"/>
              </w:rPr>
              <w:t>g</w:t>
            </w:r>
          </w:p>
        </w:tc>
      </w:tr>
      <w:tr w14:paraId="7A15B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48" w:type="dxa"/>
            <w:tcBorders>
              <w:top w:val="nil"/>
              <w:left w:val="nil"/>
              <w:bottom w:val="single" w:color="auto" w:sz="12" w:space="0"/>
            </w:tcBorders>
            <w:vAlign w:val="top"/>
          </w:tcPr>
          <w:p w14:paraId="79098046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</w:rPr>
              <w:t>Total volume</w:t>
            </w:r>
          </w:p>
        </w:tc>
        <w:tc>
          <w:tcPr>
            <w:tcW w:w="4148" w:type="dxa"/>
            <w:tcBorders>
              <w:top w:val="nil"/>
              <w:bottom w:val="single" w:color="auto" w:sz="12" w:space="0"/>
              <w:right w:val="nil"/>
            </w:tcBorders>
            <w:vAlign w:val="top"/>
          </w:tcPr>
          <w:p w14:paraId="58AD0917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 xml:space="preserve">20 </w:t>
            </w:r>
            <w:r>
              <w:rPr>
                <w:rFonts w:hint="default" w:ascii="Times New Roman" w:hAnsi="Times New Roman" w:eastAsia="宋体" w:cs="Times New Roman"/>
                <w:kern w:val="0"/>
                <w:sz w:val="21"/>
                <w:szCs w:val="21"/>
              </w:rPr>
              <w:t>μL</w:t>
            </w:r>
          </w:p>
        </w:tc>
      </w:tr>
    </w:tbl>
    <w:p w14:paraId="534EF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>将冷却后的连接产物分别转化至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</w:rPr>
        <w:t>E. coli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Trans5α感受态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细胞中，转化步骤如下：</w:t>
      </w:r>
    </w:p>
    <w:p w14:paraId="0ADBF58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将感受态细胞于冰上缓慢融化后加入3 μL连接产物，轻弹管壁混匀，于冰浴条件下静置30 min。</w:t>
      </w:r>
    </w:p>
    <w:p w14:paraId="53DF782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>将混合物于42 ℃水浴90 s后冰浴3 min。</w:t>
      </w:r>
    </w:p>
    <w:p w14:paraId="45C296D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向离心管中加入800 μL液体LB培养基，于37 ℃摇床震荡培养2 h。</w:t>
      </w:r>
    </w:p>
    <w:p w14:paraId="2EA750B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取培养后的菌液以5000 r/min的转速离心10 min，留50 μL液体培养基重选菌体，均匀涂布于添加50 μg/mL Amp的固体LB培养基上，于37 ℃摇床培养12 h。</w:t>
      </w:r>
    </w:p>
    <w:p w14:paraId="1016A95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挑取疑似阳性琼脂板单菌落，于5 mL抗性液体LB培养基（50 μg/mL Amp）中过夜培养。</w:t>
      </w:r>
    </w:p>
    <w:p w14:paraId="54E84A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以过夜培养后的菌液为模板进行PCR扩增，并进行</w:t>
      </w:r>
      <w:r>
        <w:rPr>
          <w:rFonts w:hint="default" w:ascii="Times New Roman" w:hAnsi="Times New Roman" w:eastAsia="宋体" w:cs="Times New Roman"/>
          <w:sz w:val="24"/>
          <w:szCs w:val="24"/>
        </w:rPr>
        <w:t>琼脂糖凝胶电泳检测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。最后将疑似阳性菌株送生工生物工程公司（上海）进行测序。</w:t>
      </w:r>
    </w:p>
    <w:p w14:paraId="20CF3E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both"/>
        <w:textAlignment w:val="auto"/>
        <w:outlineLvl w:val="2"/>
        <w:rPr>
          <w:rFonts w:hint="default" w:ascii="Times New Roman" w:hAnsi="Times New Roman" w:eastAsia="黑体" w:cs="Times New Roman"/>
          <w:b/>
          <w:bCs/>
          <w:i w:val="0"/>
          <w:iCs w:val="0"/>
          <w:strike w:val="0"/>
          <w:dstrike w:val="0"/>
          <w:kern w:val="0"/>
          <w:sz w:val="24"/>
          <w:szCs w:val="24"/>
          <w:lang w:val="en-US" w:eastAsia="zh-CN"/>
        </w:rPr>
      </w:pPr>
      <w:bookmarkStart w:id="10" w:name="_Toc25082"/>
      <w:bookmarkStart w:id="11" w:name="_Toc23806"/>
      <w:r>
        <w:rPr>
          <w:rStyle w:val="15"/>
          <w:rFonts w:hint="default" w:ascii="Times New Roman" w:hAnsi="Times New Roman" w:eastAsia="黑体" w:cs="Times New Roman"/>
          <w:sz w:val="24"/>
          <w:szCs w:val="24"/>
          <w:lang w:val="en-US" w:eastAsia="zh-CN"/>
        </w:rPr>
        <w:t>3.5.3</w:t>
      </w:r>
      <w:r>
        <w:rPr>
          <w:rFonts w:hint="default" w:ascii="Times New Roman" w:hAnsi="Times New Roman" w:eastAsia="黑体" w:cs="Times New Roman"/>
          <w:b/>
          <w:bCs/>
          <w:i w:val="0"/>
          <w:iCs w:val="0"/>
          <w:strike w:val="0"/>
          <w:dstrike w:val="0"/>
          <w:kern w:val="0"/>
          <w:sz w:val="24"/>
          <w:szCs w:val="24"/>
          <w:lang w:val="en-US" w:eastAsia="zh-CN"/>
        </w:rPr>
        <w:t>表达菌株的构建</w:t>
      </w:r>
      <w:bookmarkEnd w:id="10"/>
      <w:bookmarkEnd w:id="11"/>
    </w:p>
    <w:p w14:paraId="497E5B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>根据测序结果，使用Steady Pure柱式质粒DNA小量抽提试剂盒提取阳性菌株质粒，将重组质粒pCold-TF-cbbt与pCold-TF-bbt分别转化至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kern w:val="0"/>
          <w:sz w:val="24"/>
          <w:szCs w:val="24"/>
          <w:lang w:val="en-US" w:eastAsia="zh-CN"/>
        </w:rPr>
        <w:t xml:space="preserve">E. coil </w:t>
      </w:r>
      <w:r>
        <w:rPr>
          <w:rFonts w:hint="default" w:ascii="Times New Roman" w:hAnsi="Times New Roman" w:eastAsia="宋体" w:cs="Times New Roman"/>
          <w:b w:val="0"/>
          <w:bCs w:val="0"/>
          <w:kern w:val="0"/>
          <w:sz w:val="24"/>
          <w:szCs w:val="24"/>
          <w:lang w:val="en-US" w:eastAsia="zh-CN"/>
        </w:rPr>
        <w:t>BL21（DE3）感受态细胞中并验证，转化和验证步骤同3.5.2。</w:t>
      </w:r>
    </w:p>
    <w:p w14:paraId="41FC5E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jc w:val="both"/>
        <w:textAlignment w:val="auto"/>
        <w:outlineLvl w:val="2"/>
        <w:rPr>
          <w:rFonts w:hint="default" w:ascii="Times New Roman" w:hAnsi="Times New Roman" w:eastAsia="黑体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</w:pPr>
      <w:bookmarkStart w:id="12" w:name="_Toc14493"/>
      <w:bookmarkStart w:id="13" w:name="_Toc19345"/>
      <w:r>
        <w:rPr>
          <w:rStyle w:val="15"/>
          <w:rFonts w:hint="default" w:ascii="Times New Roman" w:hAnsi="Times New Roman" w:eastAsia="黑体" w:cs="Times New Roman"/>
          <w:sz w:val="24"/>
          <w:szCs w:val="24"/>
          <w:lang w:val="en-US" w:eastAsia="zh-CN"/>
        </w:rPr>
        <w:t>3.5.4</w:t>
      </w:r>
      <w:r>
        <w:rPr>
          <w:rFonts w:hint="default" w:ascii="Times New Roman" w:hAnsi="Times New Roman" w:eastAsia="黑体" w:cs="Times New Roman"/>
          <w:b/>
          <w:bCs/>
          <w:i w:val="0"/>
          <w:iCs w:val="0"/>
          <w:kern w:val="0"/>
          <w:sz w:val="24"/>
          <w:szCs w:val="24"/>
          <w:lang w:val="en-US" w:eastAsia="zh-CN"/>
        </w:rPr>
        <w:t>目的蛋白的诱导表达</w:t>
      </w:r>
      <w:bookmarkEnd w:id="12"/>
      <w:bookmarkEnd w:id="13"/>
    </w:p>
    <w:p w14:paraId="14CB77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kern w:val="0"/>
          <w:sz w:val="24"/>
          <w:szCs w:val="24"/>
          <w:lang w:val="en-US" w:eastAsia="zh-CN"/>
        </w:rPr>
        <w:t>按1%的比例将阳性菌株接种于液体LB培养基（含50 μg/mL Amp）中，于37℃条件下振荡培养至OD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kern w:val="0"/>
          <w:sz w:val="24"/>
          <w:szCs w:val="24"/>
          <w:vertAlign w:val="subscript"/>
          <w:lang w:val="en-US" w:eastAsia="zh-CN"/>
        </w:rPr>
        <w:t>600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kern w:val="0"/>
          <w:sz w:val="24"/>
          <w:szCs w:val="24"/>
          <w:lang w:val="en-US" w:eastAsia="zh-CN"/>
        </w:rPr>
        <w:t xml:space="preserve"> = 0.6。加入终浓度为1 mmol/L的诱导剂IPTG，16 ℃震荡诱导20 h，分别取200 mL菌液，4 ℃，6000 r/min离心15 min。使用预冷的灭菌PBS缓冲液洗涤3次，再用无菌PBS重悬后超声破碎菌体，7000 r/min离心20 min后收集上清液，菌体用无菌PBS溶液重悬。分别取菌体重悬液和上清液，与5 × SDS-PAGE buffer混匀，沸水浴10 min使蛋白变性后进行SDS-PAGE电泳检测，使用考马斯亮蓝溶液染色，脱色至蛋白条带清晰，拍照观察并分析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。</w:t>
      </w:r>
    </w:p>
    <w:p w14:paraId="38E11C72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br w:type="page"/>
      </w:r>
    </w:p>
    <w:p w14:paraId="7FBBBA46">
      <w:pPr>
        <w:widowControl w:val="0"/>
        <w:numPr>
          <w:ilvl w:val="0"/>
          <w:numId w:val="0"/>
        </w:numPr>
        <w:jc w:val="center"/>
        <w:rPr>
          <w:rFonts w:hint="eastAsia"/>
          <w:color w:val="auto"/>
          <w:highlight w:val="cyan"/>
          <w:lang w:val="en-US" w:eastAsia="zh-CN"/>
        </w:rPr>
      </w:pPr>
      <w:r>
        <w:rPr>
          <w:rFonts w:hint="eastAsia"/>
          <w:color w:val="auto"/>
          <w:highlight w:val="cyan"/>
          <w:lang w:val="en-US" w:eastAsia="zh-CN"/>
        </w:rPr>
        <w:t>本章寄语</w:t>
      </w:r>
    </w:p>
    <w:p w14:paraId="06C16C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ind w:firstLine="420" w:firstLineChars="200"/>
        <w:jc w:val="left"/>
        <w:textAlignment w:val="auto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如你们所见，本章的内容主要以实验为准，在这里还是建议大家对实验大致内容做提前预习，需要使用试剂盒时以说明书上的操作介绍为准，实验室的师兄师姐是超级好的一批师兄师姐，一定多与他们沟通请教，尽可能每一步操作一次完成。</w:t>
      </w:r>
    </w:p>
    <w:p w14:paraId="3DD22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到这里整项实验练习已经结束，这是一段不容易的时光，可能会有一次次重复筛选的枯燥，也可能会有实验失败的懊恼，但也一定有成功后的喜悦和轻松，祝贺你们完成了一项非常充实的练习。</w:t>
      </w:r>
    </w:p>
    <w:p w14:paraId="1839AF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回忆起我的毕设，也遭遇过很多次的失败，但当时靠一个想法支撑这“怕什么，大不了重头来过”，或许未来也会有很多困难，我们都要以积极正面的心态去面对，做一个充满正能量的人，找到自己的节奏干就完事了！</w:t>
      </w:r>
    </w:p>
    <w:p w14:paraId="60F6D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default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好了,操作手册的陪伴就要告一段落，离别是件难事儿。</w:t>
      </w:r>
      <w:bookmarkStart w:id="14" w:name="_GoBack"/>
      <w:bookmarkEnd w:id="14"/>
      <w:r>
        <w:rPr>
          <w:rFonts w:hint="eastAsia"/>
          <w:color w:val="auto"/>
          <w:highlight w:val="none"/>
          <w:lang w:val="en-US" w:eastAsia="zh-CN"/>
        </w:rPr>
        <w:t>祝福你们学业顺利，前程似锦!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唐僧洗发用飘柔" w:date="2024-07-12T21:09:53Z" w:initials="">
    <w:p w14:paraId="15BC7A5E">
      <w:pPr>
        <w:pStyle w:val="7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拖动时左上角会显示CG和碱基长度可查看</w:t>
      </w:r>
    </w:p>
  </w:comment>
  <w:comment w:id="1" w:author="唐僧洗发用飘柔" w:date="2024-07-12T21:12:43Z" w:initials="">
    <w:p w14:paraId="5735320A">
      <w:pPr>
        <w:pStyle w:val="7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可更改引物名称等操作</w:t>
      </w:r>
    </w:p>
  </w:comment>
  <w:comment w:id="2" w:author="唐僧洗发用飘柔" w:date="2024-07-12T21:19:38Z" w:initials="">
    <w:p w14:paraId="74E8A877">
      <w:pPr>
        <w:pStyle w:val="7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直接在“图谱”或“酶”中都可以查看有哪些酶切位点</w:t>
      </w:r>
    </w:p>
  </w:comment>
  <w:comment w:id="3" w:author="唐僧洗发用飘柔" w:date="2024-07-13T22:17:22Z" w:initials="">
    <w:p w14:paraId="1884DB3A">
      <w:pPr>
        <w:pStyle w:val="7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如果需要胶回收PCR配置50uL体系，也就是25ul体系各部分×2</w:t>
      </w:r>
    </w:p>
  </w:comment>
  <w:comment w:id="4" w:author="唐僧洗发用飘柔" w:date="2024-07-13T22:18:16Z" w:initials="">
    <w:p w14:paraId="350728D8">
      <w:pPr>
        <w:pStyle w:val="7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具体双酶切体系与选择的两个酶切位点相关，以说明书为准，此处体系为我当时使用的两个酶切位点的体系。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5BC7A5E" w15:done="0"/>
  <w15:commentEx w15:paraId="5735320A" w15:done="0"/>
  <w15:commentEx w15:paraId="74E8A877" w15:done="0"/>
  <w15:commentEx w15:paraId="1884DB3A" w15:done="0"/>
  <w15:commentEx w15:paraId="350728D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876B88"/>
    <w:multiLevelType w:val="singleLevel"/>
    <w:tmpl w:val="84876B88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720" w:leftChars="0" w:firstLine="0" w:firstLineChars="0"/>
      </w:pPr>
    </w:lvl>
  </w:abstractNum>
  <w:abstractNum w:abstractNumId="1">
    <w:nsid w:val="A62A6362"/>
    <w:multiLevelType w:val="singleLevel"/>
    <w:tmpl w:val="A62A6362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0FC57063"/>
    <w:multiLevelType w:val="singleLevel"/>
    <w:tmpl w:val="0FC57063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720" w:leftChars="0" w:firstLine="0" w:firstLineChars="0"/>
      </w:pPr>
    </w:lvl>
  </w:abstractNum>
  <w:abstractNum w:abstractNumId="3">
    <w:nsid w:val="33D495B4"/>
    <w:multiLevelType w:val="singleLevel"/>
    <w:tmpl w:val="33D495B4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4">
    <w:nsid w:val="7FCBFC4C"/>
    <w:multiLevelType w:val="singleLevel"/>
    <w:tmpl w:val="7FCBFC4C"/>
    <w:lvl w:ilvl="0" w:tentative="0">
      <w:start w:val="1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唐僧洗发用飘柔">
    <w15:presenceInfo w15:providerId="WPS Office" w15:userId="643813445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I2MDk1MWY1ODJjMTE5OTgxNmQ5OTc1MjVhMTc0MTcifQ=="/>
  </w:docVars>
  <w:rsids>
    <w:rsidRoot w:val="00000000"/>
    <w:rsid w:val="482C7B44"/>
    <w:rsid w:val="7AF7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link w:val="13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7">
    <w:name w:val="annotation text"/>
    <w:basedOn w:val="1"/>
    <w:uiPriority w:val="0"/>
    <w:pPr>
      <w:jc w:val="left"/>
    </w:p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iPriority w:val="0"/>
    <w:rPr>
      <w:color w:val="0000FF"/>
      <w:u w:val="single"/>
    </w:rPr>
  </w:style>
  <w:style w:type="character" w:customStyle="1" w:styleId="12">
    <w:name w:val="标题 2 Char"/>
    <w:link w:val="3"/>
    <w:autoRedefine/>
    <w:qFormat/>
    <w:uiPriority w:val="0"/>
    <w:rPr>
      <w:rFonts w:ascii="Arial" w:hAnsi="Arial" w:eastAsia="黑体"/>
      <w:b/>
      <w:sz w:val="32"/>
    </w:rPr>
  </w:style>
  <w:style w:type="character" w:customStyle="1" w:styleId="13">
    <w:name w:val="标题 4 Char"/>
    <w:link w:val="5"/>
    <w:autoRedefine/>
    <w:qFormat/>
    <w:uiPriority w:val="0"/>
    <w:rPr>
      <w:rFonts w:ascii="Arial" w:hAnsi="Arial" w:eastAsia="黑体"/>
      <w:b/>
      <w:sz w:val="28"/>
    </w:rPr>
  </w:style>
  <w:style w:type="paragraph" w:styleId="14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5">
    <w:name w:val="标题 3 Char"/>
    <w:link w:val="4"/>
    <w:autoRedefine/>
    <w:qFormat/>
    <w:uiPriority w:val="0"/>
    <w:rPr>
      <w:b/>
      <w:sz w:val="32"/>
    </w:rPr>
  </w:style>
  <w:style w:type="character" w:customStyle="1" w:styleId="16">
    <w:name w:val="标题 1 Char"/>
    <w:link w:val="2"/>
    <w:autoRedefine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7" Type="http://schemas.microsoft.com/office/2011/relationships/people" Target="people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2072</Words>
  <Characters>3110</Characters>
  <Lines>0</Lines>
  <Paragraphs>0</Paragraphs>
  <TotalTime>58</TotalTime>
  <ScaleCrop>false</ScaleCrop>
  <LinksUpToDate>false</LinksUpToDate>
  <CharactersWithSpaces>3337</CharactersWithSpaces>
  <Application>WPS Office_12.1.0.17440_F1E327BC-269C-435d-A152-05C5408002CA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2024-07-12T11:20:00Z</dcterms:created>
  <dc:creator>yh</dc:creator>
  <cp:lastModifiedBy>唐僧洗发用飘柔</cp:lastModifiedBy>
  <dcterms:modified xsi:type="dcterms:W3CDTF">2024-07-13T15:27:31Z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2052-12.1.0.17440</vt:lpwstr>
  </property>
  <property fmtid="{D5CDD505-2E9C-101B-9397-08002B2CF9AE}" pid="3" name="ICV">
    <vt:lpwstr>F5ACCC41E47E4784ACB080B2B6429527_12</vt:lpwstr>
  </property>
</Properties>
</file>