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3881" w:rsidP="04165CAD" w:rsidRDefault="04165CAD" w14:paraId="672A6659" w14:textId="77777777" w14:noSpellErr="1">
      <w:pPr>
        <w:pStyle w:val="Title"/>
      </w:pPr>
      <w:r w:rsidR="59232A41">
        <w:rPr/>
        <w:t>Zava Current IT Landscape</w:t>
      </w:r>
    </w:p>
    <w:p w:rsidR="04165CAD" w:rsidP="04165CAD" w:rsidRDefault="04165CAD" w14:paraId="4A85B8B6" w14:textId="2304B0CC" w14:noSpellErr="1">
      <w:pPr>
        <w:pStyle w:val="Subtitle"/>
      </w:pPr>
      <w:r w:rsidR="59232A41">
        <w:rPr/>
        <w:t>Annex C to RFP ZAV-RFP-2026-014 – Customer Engagement &amp; Finance Transformation</w:t>
      </w:r>
    </w:p>
    <w:tbl>
      <w:tblPr>
        <w:tblStyle w:val="MediumShading1-Accent1"/>
        <w:tblW w:w="0" w:type="auto"/>
        <w:tblLook w:val="04A0" w:firstRow="1" w:lastRow="0" w:firstColumn="1" w:lastColumn="0" w:noHBand="0" w:noVBand="1"/>
      </w:tblPr>
      <w:tblGrid>
        <w:gridCol w:w="2300"/>
        <w:gridCol w:w="7400"/>
      </w:tblGrid>
      <w:tr w:rsidR="04165CAD" w:rsidTr="2E6CA6CC" w14:paraId="192C1383" w14:textId="77777777">
        <w:trPr>
          <w:cnfStyle w:val="100000000000" w:firstRow="1" w:lastRow="0" w:firstColumn="0" w:lastColumn="0" w:oddVBand="0" w:evenVBand="0" w:oddHBand="0" w:evenHBand="0" w:firstRowFirstColumn="0" w:firstRowLastColumn="0" w:lastRowFirstColumn="0" w:lastRowLastColumn="0"/>
          <w:trHeight w:val="300"/>
        </w:trPr>
        <w:tc>
          <w:tcPr>
            <w:tcW w:w="2300" w:type="dxa"/>
            <w:tcMar/>
          </w:tcPr>
          <w:p w:rsidR="04165CAD" w:rsidRDefault="04165CAD" w14:paraId="1B31BE43" w14:textId="36FBEEE7">
            <w:r>
              <w:t>Item</w:t>
            </w:r>
          </w:p>
        </w:tc>
        <w:tc>
          <w:tcPr>
            <w:tcW w:w="7400" w:type="dxa"/>
            <w:tcMar/>
          </w:tcPr>
          <w:p w:rsidR="04165CAD" w:rsidRDefault="04165CAD" w14:paraId="3419DF94" w14:textId="2FD9D5AB">
            <w:pPr>
              <w:cnfStyle w:val="100000000000" w:firstRow="1" w:lastRow="0" w:firstColumn="0" w:lastColumn="0" w:oddVBand="0" w:evenVBand="0" w:oddHBand="0" w:evenHBand="0" w:firstRowFirstColumn="0" w:firstRowLastColumn="0" w:lastRowFirstColumn="0" w:lastRowLastColumn="0"/>
            </w:pPr>
            <w:r>
              <w:t>Detail</w:t>
            </w:r>
          </w:p>
        </w:tc>
      </w:tr>
      <w:tr w:rsidR="04165CAD" w:rsidTr="2E6CA6CC" w14:paraId="3D4D5D21" w14:textId="77777777">
        <w:trPr>
          <w:cnfStyle w:val="000000100000" w:firstRow="0" w:lastRow="0" w:firstColumn="0" w:lastColumn="0" w:oddVBand="0" w:evenVBand="0" w:oddHBand="1" w:evenHBand="0" w:firstRowFirstColumn="0" w:firstRowLastColumn="0" w:lastRowFirstColumn="0" w:lastRowLastColumn="0"/>
        </w:trPr>
        <w:tc>
          <w:tcPr>
            <w:tcW w:w="2300" w:type="dxa"/>
            <w:tcMar/>
          </w:tcPr>
          <w:p w:rsidR="04165CAD" w:rsidRDefault="04165CAD" w14:paraId="13053F87" w14:textId="46EF3620">
            <w:r>
              <w:t>Owner</w:t>
            </w:r>
          </w:p>
        </w:tc>
        <w:tc>
          <w:tcPr>
            <w:tcW w:w="7400" w:type="dxa"/>
            <w:tcMar/>
          </w:tcPr>
          <w:p w:rsidR="04165CAD" w:rsidRDefault="04165CAD" w14:paraId="6DFAD66B" w14:textId="3FCD1CE4" w14:noSpellErr="1">
            <w:pPr>
              <w:cnfStyle w:val="000000100000" w:firstRow="0" w:lastRow="0" w:firstColumn="0" w:lastColumn="0" w:oddVBand="0" w:evenVBand="0" w:oddHBand="1" w:evenHBand="0" w:firstRowFirstColumn="0" w:firstRowLastColumn="0" w:lastRowFirstColumn="0" w:lastRowLastColumn="0"/>
            </w:pPr>
            <w:r w:rsidR="59232A41">
              <w:rPr/>
              <w:t>Yusuf Ibrahim, IT Infrastructure Manager, Zava Trading LLC</w:t>
            </w:r>
          </w:p>
        </w:tc>
      </w:tr>
      <w:tr w:rsidR="04165CAD" w:rsidTr="2E6CA6CC" w14:paraId="1DD1356F" w14:textId="77777777">
        <w:trPr>
          <w:cnfStyle w:val="000000010000" w:firstRow="0" w:lastRow="0" w:firstColumn="0" w:lastColumn="0" w:oddVBand="0" w:evenVBand="0" w:oddHBand="0" w:evenHBand="1" w:firstRowFirstColumn="0" w:firstRowLastColumn="0" w:lastRowFirstColumn="0" w:lastRowLastColumn="0"/>
        </w:trPr>
        <w:tc>
          <w:tcPr>
            <w:tcW w:w="2300" w:type="dxa"/>
            <w:tcMar/>
          </w:tcPr>
          <w:p w:rsidR="04165CAD" w:rsidRDefault="04165CAD" w14:paraId="27AF7DB9" w14:textId="56E27D59">
            <w:r>
              <w:t>Approved by</w:t>
            </w:r>
          </w:p>
        </w:tc>
        <w:tc>
          <w:tcPr>
            <w:tcW w:w="7400" w:type="dxa"/>
            <w:tcMar/>
          </w:tcPr>
          <w:p w:rsidR="04165CAD" w:rsidRDefault="04165CAD" w14:paraId="5B138FAF" w14:textId="4FC0641D">
            <w:pPr>
              <w:cnfStyle w:val="000000010000" w:firstRow="0" w:lastRow="0" w:firstColumn="0" w:lastColumn="0" w:oddVBand="0" w:evenVBand="0" w:oddHBand="0" w:evenHBand="1" w:firstRowFirstColumn="0" w:firstRowLastColumn="0" w:lastRowFirstColumn="0" w:lastRowLastColumn="0"/>
            </w:pPr>
            <w:r>
              <w:t>Ahmed Al Mansoori, CIO</w:t>
            </w:r>
          </w:p>
        </w:tc>
      </w:tr>
      <w:tr w:rsidR="04165CAD" w:rsidTr="2E6CA6CC" w14:paraId="5EBAAB90" w14:textId="77777777">
        <w:trPr>
          <w:cnfStyle w:val="000000100000" w:firstRow="0" w:lastRow="0" w:firstColumn="0" w:lastColumn="0" w:oddVBand="0" w:evenVBand="0" w:oddHBand="1" w:evenHBand="0" w:firstRowFirstColumn="0" w:firstRowLastColumn="0" w:lastRowFirstColumn="0" w:lastRowLastColumn="0"/>
        </w:trPr>
        <w:tc>
          <w:tcPr>
            <w:tcW w:w="2300" w:type="dxa"/>
            <w:tcMar/>
          </w:tcPr>
          <w:p w:rsidR="04165CAD" w:rsidRDefault="04165CAD" w14:paraId="5B12186A" w14:textId="66D5C492">
            <w:r>
              <w:t>Version and date</w:t>
            </w:r>
          </w:p>
        </w:tc>
        <w:tc>
          <w:tcPr>
            <w:tcW w:w="7400" w:type="dxa"/>
            <w:tcMar/>
          </w:tcPr>
          <w:p w:rsidR="04165CAD" w:rsidRDefault="04165CAD" w14:paraId="43A691FE" w14:textId="5FB3AB56">
            <w:pPr>
              <w:cnfStyle w:val="000000100000" w:firstRow="0" w:lastRow="0" w:firstColumn="0" w:lastColumn="0" w:oddVBand="0" w:evenVBand="0" w:oddHBand="1" w:evenHBand="0" w:firstRowFirstColumn="0" w:firstRowLastColumn="0" w:lastRowFirstColumn="0" w:lastRowLastColumn="0"/>
            </w:pPr>
            <w:r>
              <w:t>v1.1 – 12 October 2026 (issued with the RFP)</w:t>
            </w:r>
          </w:p>
        </w:tc>
      </w:tr>
      <w:tr w:rsidR="04165CAD" w:rsidTr="2E6CA6CC" w14:paraId="3B1E17CA" w14:textId="77777777">
        <w:trPr>
          <w:cnfStyle w:val="000000010000" w:firstRow="0" w:lastRow="0" w:firstColumn="0" w:lastColumn="0" w:oddVBand="0" w:evenVBand="0" w:oddHBand="0" w:evenHBand="1" w:firstRowFirstColumn="0" w:firstRowLastColumn="0" w:lastRowFirstColumn="0" w:lastRowLastColumn="0"/>
        </w:trPr>
        <w:tc>
          <w:tcPr>
            <w:tcW w:w="2300" w:type="dxa"/>
            <w:tcMar/>
          </w:tcPr>
          <w:p w:rsidR="04165CAD" w:rsidRDefault="04165CAD" w14:paraId="4C4AA513" w14:textId="76C90BCB">
            <w:r>
              <w:t>Distribution</w:t>
            </w:r>
          </w:p>
        </w:tc>
        <w:tc>
          <w:tcPr>
            <w:tcW w:w="7400" w:type="dxa"/>
            <w:tcMar/>
          </w:tcPr>
          <w:p w:rsidR="04165CAD" w:rsidRDefault="04165CAD" w14:paraId="1C1E755E" w14:textId="6FA6F28F">
            <w:pPr>
              <w:cnfStyle w:val="000000010000" w:firstRow="0" w:lastRow="0" w:firstColumn="0" w:lastColumn="0" w:oddVBand="0" w:evenVBand="0" w:oddHBand="0" w:evenHBand="1" w:firstRowFirstColumn="0" w:firstRowLastColumn="0" w:lastRowFirstColumn="0" w:lastRowLastColumn="0"/>
            </w:pPr>
            <w:r>
              <w:t>Shortlisted bidders via Fatima Al Zaabi, Procurement Manager. Questions through the clarification process only, by Thursday 22 October 2026, 17:00.</w:t>
            </w:r>
          </w:p>
        </w:tc>
      </w:tr>
    </w:tbl>
    <w:p w:rsidR="04165CAD" w:rsidP="04165CAD" w:rsidRDefault="04165CAD" w14:paraId="22FCD1BB" w14:textId="5B900862">
      <w:pPr>
        <w:pStyle w:val="Heading1"/>
      </w:pPr>
      <w:r>
        <w:t>1. Purpose</w:t>
      </w:r>
    </w:p>
    <w:p w:rsidR="04165CAD" w:rsidRDefault="04165CAD" w14:paraId="4CEC7133" w14:textId="17AC60CE" w14:noSpellErr="1">
      <w:r w:rsidR="59232A41">
        <w:rPr/>
        <w:t>This annex describes the systems Zava Trading LLC runs today, how they exchange data, the volumes involved, who owns them and the constraints any new solution must respect. It is a snapshot as at October 2026 and should be read with the main RFP document. Bidders should use it to size integration, data migration and decommissioning effort for D365 Sales, D365 Customer Service, Customer Insights – Journeys, D365 Finance and Supply Chain Management and Power BI.</w:t>
      </w:r>
    </w:p>
    <w:p w:rsidR="04165CAD" w:rsidRDefault="04165CAD" w14:paraId="31D1A9A6" w14:textId="5DF0665A" w14:noSpellErr="1">
      <w:r w:rsidR="59232A41">
        <w:rPr/>
        <w:t>Zava operates from its head office in Dubai and branches in Abu Dhabi, Riyadh and Muscat, with 1,450 employees. The landscape has grown by acquisition and by country, which is why finance runs on SAP Business One in the UAE and Sage 300 in KSA and Oman.</w:t>
      </w:r>
    </w:p>
    <w:p w:rsidR="04165CAD" w:rsidP="04165CAD" w:rsidRDefault="04165CAD" w14:paraId="74E87D67" w14:textId="122AE08F">
      <w:pPr>
        <w:pStyle w:val="Heading1"/>
      </w:pPr>
      <w:r>
        <w:t>2. Systems inventory</w:t>
      </w:r>
    </w:p>
    <w:tbl>
      <w:tblPr>
        <w:tblStyle w:val="MediumShading1-Accent1"/>
        <w:tblW w:w="0" w:type="auto"/>
        <w:tblLook w:val="04A0" w:firstRow="1" w:lastRow="0" w:firstColumn="1" w:lastColumn="0" w:noHBand="0" w:noVBand="1"/>
      </w:tblPr>
      <w:tblGrid>
        <w:gridCol w:w="1500"/>
        <w:gridCol w:w="2300"/>
        <w:gridCol w:w="1500"/>
        <w:gridCol w:w="1500"/>
        <w:gridCol w:w="1500"/>
        <w:gridCol w:w="1400"/>
      </w:tblGrid>
      <w:tr w:rsidR="04165CAD" w:rsidTr="2E6CA6CC" w14:paraId="4CAC8C1D" w14:textId="77777777">
        <w:trPr>
          <w:cnfStyle w:val="100000000000" w:firstRow="1" w:lastRow="0" w:firstColumn="0" w:lastColumn="0" w:oddVBand="0" w:evenVBand="0" w:oddHBand="0" w:evenHBand="0" w:firstRowFirstColumn="0" w:firstRowLastColumn="0" w:lastRowFirstColumn="0" w:lastRowLastColumn="0"/>
          <w:trHeight w:val="300"/>
        </w:trPr>
        <w:tc>
          <w:tcPr>
            <w:tcW w:w="1500" w:type="dxa"/>
            <w:tcMar/>
          </w:tcPr>
          <w:p w:rsidR="04165CAD" w:rsidRDefault="04165CAD" w14:paraId="16D4A7E7" w14:textId="2DC4FAB2">
            <w:r>
              <w:t>System</w:t>
            </w:r>
          </w:p>
        </w:tc>
        <w:tc>
          <w:tcPr>
            <w:tcW w:w="2300" w:type="dxa"/>
            <w:tcMar/>
          </w:tcPr>
          <w:p w:rsidR="04165CAD" w:rsidRDefault="04165CAD" w14:paraId="7923D5AD" w14:textId="26A2E176">
            <w:pPr>
              <w:cnfStyle w:val="100000000000" w:firstRow="1" w:lastRow="0" w:firstColumn="0" w:lastColumn="0" w:oddVBand="0" w:evenVBand="0" w:oddHBand="0" w:evenHBand="0" w:firstRowFirstColumn="0" w:firstRowLastColumn="0" w:lastRowFirstColumn="0" w:lastRowLastColumn="0"/>
            </w:pPr>
            <w:r>
              <w:t>Purpose and scope</w:t>
            </w:r>
          </w:p>
        </w:tc>
        <w:tc>
          <w:tcPr>
            <w:tcW w:w="1500" w:type="dxa"/>
            <w:tcMar/>
          </w:tcPr>
          <w:p w:rsidR="04165CAD" w:rsidRDefault="04165CAD" w14:paraId="3EA7CD99" w14:textId="1F80C83A">
            <w:pPr>
              <w:cnfStyle w:val="100000000000" w:firstRow="1" w:lastRow="0" w:firstColumn="0" w:lastColumn="0" w:oddVBand="0" w:evenVBand="0" w:oddHBand="0" w:evenHBand="0" w:firstRowFirstColumn="0" w:firstRowLastColumn="0" w:lastRowFirstColumn="0" w:lastRowLastColumn="0"/>
            </w:pPr>
            <w:r>
              <w:t>Users / scale</w:t>
            </w:r>
          </w:p>
        </w:tc>
        <w:tc>
          <w:tcPr>
            <w:tcW w:w="1500" w:type="dxa"/>
            <w:tcMar/>
          </w:tcPr>
          <w:p w:rsidR="04165CAD" w:rsidRDefault="04165CAD" w14:paraId="45297128" w14:textId="185EAEFE">
            <w:pPr>
              <w:cnfStyle w:val="100000000000" w:firstRow="1" w:lastRow="0" w:firstColumn="0" w:lastColumn="0" w:oddVBand="0" w:evenVBand="0" w:oddHBand="0" w:evenHBand="0" w:firstRowFirstColumn="0" w:firstRowLastColumn="0" w:lastRowFirstColumn="0" w:lastRowLastColumn="0"/>
            </w:pPr>
            <w:r>
              <w:t>Hosting</w:t>
            </w:r>
          </w:p>
        </w:tc>
        <w:tc>
          <w:tcPr>
            <w:tcW w:w="1500" w:type="dxa"/>
            <w:tcMar/>
          </w:tcPr>
          <w:p w:rsidR="04165CAD" w:rsidRDefault="04165CAD" w14:paraId="1BB1C819" w14:textId="113C95C2">
            <w:pPr>
              <w:cnfStyle w:val="100000000000" w:firstRow="1" w:lastRow="0" w:firstColumn="0" w:lastColumn="0" w:oddVBand="0" w:evenVBand="0" w:oddHBand="0" w:evenHBand="0" w:firstRowFirstColumn="0" w:firstRowLastColumn="0" w:lastRowFirstColumn="0" w:lastRowLastColumn="0"/>
            </w:pPr>
            <w:r>
              <w:t>Business owner</w:t>
            </w:r>
          </w:p>
        </w:tc>
        <w:tc>
          <w:tcPr>
            <w:tcW w:w="1400" w:type="dxa"/>
            <w:tcMar/>
          </w:tcPr>
          <w:p w:rsidR="04165CAD" w:rsidRDefault="04165CAD" w14:paraId="44DA068A" w14:textId="0A1A7C86">
            <w:pPr>
              <w:cnfStyle w:val="100000000000" w:firstRow="1" w:lastRow="0" w:firstColumn="0" w:lastColumn="0" w:oddVBand="0" w:evenVBand="0" w:oddHBand="0" w:evenHBand="0" w:firstRowFirstColumn="0" w:firstRowLastColumn="0" w:lastRowFirstColumn="0" w:lastRowLastColumn="0"/>
            </w:pPr>
            <w:r>
              <w:t>Contract / status</w:t>
            </w:r>
          </w:p>
        </w:tc>
      </w:tr>
      <w:tr w:rsidR="04165CAD" w:rsidTr="2E6CA6CC" w14:paraId="2C5895DC" w14:textId="77777777">
        <w:trPr>
          <w:cnfStyle w:val="000000100000" w:firstRow="0" w:lastRow="0" w:firstColumn="0" w:lastColumn="0" w:oddVBand="0" w:evenVBand="0" w:oddHBand="1" w:evenHBand="0" w:firstRowFirstColumn="0" w:firstRowLastColumn="0" w:lastRowFirstColumn="0" w:lastRowLastColumn="0"/>
        </w:trPr>
        <w:tc>
          <w:tcPr>
            <w:tcW w:w="1500" w:type="dxa"/>
            <w:tcMar/>
          </w:tcPr>
          <w:p w:rsidR="04165CAD" w:rsidRDefault="04165CAD" w14:paraId="2208CCAD" w14:textId="212FDCFB">
            <w:r>
              <w:t>Salesforce Sales Cloud</w:t>
            </w:r>
          </w:p>
        </w:tc>
        <w:tc>
          <w:tcPr>
            <w:tcW w:w="2300" w:type="dxa"/>
            <w:tcMar/>
          </w:tcPr>
          <w:p w:rsidR="04165CAD" w:rsidRDefault="04165CAD" w14:paraId="4429DD37" w14:textId="1A0DC3BF">
            <w:pPr>
              <w:cnfStyle w:val="000000100000" w:firstRow="0" w:lastRow="0" w:firstColumn="0" w:lastColumn="0" w:oddVBand="0" w:evenVBand="0" w:oddHBand="1" w:evenHBand="0" w:firstRowFirstColumn="0" w:firstRowLastColumn="0" w:lastRowFirstColumn="0" w:lastRowLastColumn="0"/>
            </w:pPr>
            <w:r>
              <w:t>Leads, accounts, opportunities, activities. No quote lines.</w:t>
            </w:r>
          </w:p>
        </w:tc>
        <w:tc>
          <w:tcPr>
            <w:tcW w:w="1500" w:type="dxa"/>
            <w:tcMar/>
          </w:tcPr>
          <w:p w:rsidR="04165CAD" w:rsidRDefault="04165CAD" w14:paraId="7FFC2195" w14:textId="12EBAA83">
            <w:pPr>
              <w:cnfStyle w:val="000000100000" w:firstRow="0" w:lastRow="0" w:firstColumn="0" w:lastColumn="0" w:oddVBand="0" w:evenVBand="0" w:oddHBand="1" w:evenHBand="0" w:firstRowFirstColumn="0" w:firstRowLastColumn="0" w:lastRowFirstColumn="0" w:lastRowLastColumn="0"/>
            </w:pPr>
            <w:r>
              <w:t>140 users, all branches</w:t>
            </w:r>
          </w:p>
        </w:tc>
        <w:tc>
          <w:tcPr>
            <w:tcW w:w="1500" w:type="dxa"/>
            <w:tcMar/>
          </w:tcPr>
          <w:p w:rsidR="04165CAD" w:rsidRDefault="04165CAD" w14:paraId="1DFC5CC2" w14:textId="0BC99147">
            <w:pPr>
              <w:cnfStyle w:val="000000100000" w:firstRow="0" w:lastRow="0" w:firstColumn="0" w:lastColumn="0" w:oddVBand="0" w:evenVBand="0" w:oddHBand="1" w:evenHBand="0" w:firstRowFirstColumn="0" w:firstRowLastColumn="0" w:lastRowFirstColumn="0" w:lastRowLastColumn="0"/>
            </w:pPr>
            <w:r>
              <w:t>SaaS (EU region)</w:t>
            </w:r>
          </w:p>
        </w:tc>
        <w:tc>
          <w:tcPr>
            <w:tcW w:w="1500" w:type="dxa"/>
            <w:tcMar/>
          </w:tcPr>
          <w:p w:rsidR="04165CAD" w:rsidRDefault="04165CAD" w14:paraId="2D02563A" w14:textId="04A7780B">
            <w:pPr>
              <w:cnfStyle w:val="000000100000" w:firstRow="0" w:lastRow="0" w:firstColumn="0" w:lastColumn="0" w:oddVBand="0" w:evenVBand="0" w:oddHBand="1" w:evenHBand="0" w:firstRowFirstColumn="0" w:firstRowLastColumn="0" w:lastRowFirstColumn="0" w:lastRowLastColumn="0"/>
            </w:pPr>
            <w:r>
              <w:t>Daniel Reyes, Head of Sales</w:t>
            </w:r>
          </w:p>
        </w:tc>
        <w:tc>
          <w:tcPr>
            <w:tcW w:w="1400" w:type="dxa"/>
            <w:tcMar/>
          </w:tcPr>
          <w:p w:rsidR="04165CAD" w:rsidRDefault="04165CAD" w14:paraId="26088611" w14:textId="7D855ECF">
            <w:pPr>
              <w:cnfStyle w:val="000000100000" w:firstRow="0" w:lastRow="0" w:firstColumn="0" w:lastColumn="0" w:oddVBand="0" w:evenVBand="0" w:oddHBand="1" w:evenHBand="0" w:firstRowFirstColumn="0" w:firstRowLastColumn="0" w:lastRowFirstColumn="0" w:lastRowLastColumn="0"/>
            </w:pPr>
            <w:r>
              <w:t>Contract ends 30 Jun 2027; will not be renewed</w:t>
            </w:r>
          </w:p>
        </w:tc>
      </w:tr>
      <w:tr w:rsidR="04165CAD" w:rsidTr="2E6CA6CC" w14:paraId="4848E095" w14:textId="77777777">
        <w:trPr>
          <w:cnfStyle w:val="000000010000" w:firstRow="0" w:lastRow="0" w:firstColumn="0" w:lastColumn="0" w:oddVBand="0" w:evenVBand="0" w:oddHBand="0" w:evenHBand="1" w:firstRowFirstColumn="0" w:firstRowLastColumn="0" w:lastRowFirstColumn="0" w:lastRowLastColumn="0"/>
        </w:trPr>
        <w:tc>
          <w:tcPr>
            <w:tcW w:w="1500" w:type="dxa"/>
            <w:tcMar/>
          </w:tcPr>
          <w:p w:rsidR="04165CAD" w:rsidRDefault="04165CAD" w14:paraId="248DCB6D" w14:textId="149ABF44">
            <w:r>
              <w:t>Zendesk Support</w:t>
            </w:r>
          </w:p>
        </w:tc>
        <w:tc>
          <w:tcPr>
            <w:tcW w:w="2300" w:type="dxa"/>
            <w:tcMar/>
          </w:tcPr>
          <w:p w:rsidR="04165CAD" w:rsidRDefault="04165CAD" w14:paraId="588896EA" w14:textId="0D78A608">
            <w:pPr>
              <w:cnfStyle w:val="000000010000" w:firstRow="0" w:lastRow="0" w:firstColumn="0" w:lastColumn="0" w:oddVBand="0" w:evenVBand="0" w:oddHBand="0" w:evenHBand="1" w:firstRowFirstColumn="0" w:firstRowLastColumn="0" w:lastRowFirstColumn="0" w:lastRowLastColumn="0"/>
            </w:pPr>
            <w:r>
              <w:t>Customer service tickets, macros, help centre, CSAT survey</w:t>
            </w:r>
          </w:p>
        </w:tc>
        <w:tc>
          <w:tcPr>
            <w:tcW w:w="1500" w:type="dxa"/>
            <w:tcMar/>
          </w:tcPr>
          <w:p w:rsidR="04165CAD" w:rsidRDefault="04165CAD" w14:paraId="723E8206" w14:textId="06568CCC">
            <w:pPr>
              <w:cnfStyle w:val="000000010000" w:firstRow="0" w:lastRow="0" w:firstColumn="0" w:lastColumn="0" w:oddVBand="0" w:evenVBand="0" w:oddHBand="0" w:evenHBand="1" w:firstRowFirstColumn="0" w:firstRowLastColumn="0" w:lastRowFirstColumn="0" w:lastRowLastColumn="0"/>
            </w:pPr>
            <w:r>
              <w:t>65 agents</w:t>
            </w:r>
          </w:p>
        </w:tc>
        <w:tc>
          <w:tcPr>
            <w:tcW w:w="1500" w:type="dxa"/>
            <w:tcMar/>
          </w:tcPr>
          <w:p w:rsidR="04165CAD" w:rsidRDefault="04165CAD" w14:paraId="68842D13" w14:textId="7F347390">
            <w:pPr>
              <w:cnfStyle w:val="000000010000" w:firstRow="0" w:lastRow="0" w:firstColumn="0" w:lastColumn="0" w:oddVBand="0" w:evenVBand="0" w:oddHBand="0" w:evenHBand="1" w:firstRowFirstColumn="0" w:firstRowLastColumn="0" w:lastRowFirstColumn="0" w:lastRowLastColumn="0"/>
            </w:pPr>
            <w:r>
              <w:t>SaaS (EU region)</w:t>
            </w:r>
          </w:p>
        </w:tc>
        <w:tc>
          <w:tcPr>
            <w:tcW w:w="1500" w:type="dxa"/>
            <w:tcMar/>
          </w:tcPr>
          <w:p w:rsidR="04165CAD" w:rsidRDefault="04165CAD" w14:paraId="4A7A66FE" w14:textId="78125A54">
            <w:pPr>
              <w:cnfStyle w:val="000000010000" w:firstRow="0" w:lastRow="0" w:firstColumn="0" w:lastColumn="0" w:oddVBand="0" w:evenVBand="0" w:oddHBand="0" w:evenHBand="1" w:firstRowFirstColumn="0" w:firstRowLastColumn="0" w:lastRowFirstColumn="0" w:lastRowLastColumn="0"/>
            </w:pPr>
            <w:r>
              <w:t>Mariam Saeed, Head of Customer Service</w:t>
            </w:r>
          </w:p>
        </w:tc>
        <w:tc>
          <w:tcPr>
            <w:tcW w:w="1400" w:type="dxa"/>
            <w:tcMar/>
          </w:tcPr>
          <w:p w:rsidR="04165CAD" w:rsidRDefault="04165CAD" w14:paraId="2B0DEA8B" w14:textId="70F04118">
            <w:pPr>
              <w:cnfStyle w:val="000000010000" w:firstRow="0" w:lastRow="0" w:firstColumn="0" w:lastColumn="0" w:oddVBand="0" w:evenVBand="0" w:oddHBand="0" w:evenHBand="1" w:firstRowFirstColumn="0" w:firstRowLastColumn="0" w:lastRowFirstColumn="0" w:lastRowLastColumn="0"/>
            </w:pPr>
            <w:r>
              <w:t>Annual renewal 31 May 2027</w:t>
            </w:r>
          </w:p>
        </w:tc>
      </w:tr>
      <w:tr w:rsidR="04165CAD" w:rsidTr="2E6CA6CC" w14:paraId="336368A2" w14:textId="77777777">
        <w:trPr>
          <w:cnfStyle w:val="000000100000" w:firstRow="0" w:lastRow="0" w:firstColumn="0" w:lastColumn="0" w:oddVBand="0" w:evenVBand="0" w:oddHBand="1" w:evenHBand="0" w:firstRowFirstColumn="0" w:firstRowLastColumn="0" w:lastRowFirstColumn="0" w:lastRowLastColumn="0"/>
        </w:trPr>
        <w:tc>
          <w:tcPr>
            <w:tcW w:w="1500" w:type="dxa"/>
            <w:tcMar/>
          </w:tcPr>
          <w:p w:rsidR="04165CAD" w:rsidRDefault="04165CAD" w14:paraId="139A5078" w14:textId="0805A18D">
            <w:r>
              <w:t>Mailchimp</w:t>
            </w:r>
          </w:p>
        </w:tc>
        <w:tc>
          <w:tcPr>
            <w:tcW w:w="2300" w:type="dxa"/>
            <w:tcMar/>
          </w:tcPr>
          <w:p w:rsidR="04165CAD" w:rsidRDefault="04165CAD" w14:paraId="75B5E349" w14:textId="00E38851">
            <w:pPr>
              <w:cnfStyle w:val="000000100000" w:firstRow="0" w:lastRow="0" w:firstColumn="0" w:lastColumn="0" w:oddVBand="0" w:evenVBand="0" w:oddHBand="1" w:evenHBand="0" w:firstRowFirstColumn="0" w:firstRowLastColumn="0" w:lastRowFirstColumn="0" w:lastRowLastColumn="0"/>
            </w:pPr>
            <w:r>
              <w:t>Email newsletters and event invitations</w:t>
            </w:r>
          </w:p>
        </w:tc>
        <w:tc>
          <w:tcPr>
            <w:tcW w:w="1500" w:type="dxa"/>
            <w:tcMar/>
          </w:tcPr>
          <w:p w:rsidR="04165CAD" w:rsidRDefault="04165CAD" w14:paraId="2CE1E157" w14:textId="79C16F15">
            <w:pPr>
              <w:cnfStyle w:val="000000100000" w:firstRow="0" w:lastRow="0" w:firstColumn="0" w:lastColumn="0" w:oddVBand="0" w:evenVBand="0" w:oddHBand="1" w:evenHBand="0" w:firstRowFirstColumn="0" w:firstRowLastColumn="0" w:lastRowFirstColumn="0" w:lastRowLastColumn="0"/>
            </w:pPr>
            <w:r>
              <w:t>4 marketing users; 38,000 contacts</w:t>
            </w:r>
          </w:p>
        </w:tc>
        <w:tc>
          <w:tcPr>
            <w:tcW w:w="1500" w:type="dxa"/>
            <w:tcMar/>
          </w:tcPr>
          <w:p w:rsidR="04165CAD" w:rsidRDefault="04165CAD" w14:paraId="27E3F9EC" w14:textId="729F55D9">
            <w:pPr>
              <w:cnfStyle w:val="000000100000" w:firstRow="0" w:lastRow="0" w:firstColumn="0" w:lastColumn="0" w:oddVBand="0" w:evenVBand="0" w:oddHBand="1" w:evenHBand="0" w:firstRowFirstColumn="0" w:firstRowLastColumn="0" w:lastRowFirstColumn="0" w:lastRowLastColumn="0"/>
            </w:pPr>
            <w:r>
              <w:t>SaaS (US)</w:t>
            </w:r>
          </w:p>
        </w:tc>
        <w:tc>
          <w:tcPr>
            <w:tcW w:w="1500" w:type="dxa"/>
            <w:tcMar/>
          </w:tcPr>
          <w:p w:rsidR="04165CAD" w:rsidRDefault="04165CAD" w14:paraId="1F305CBB" w14:textId="6B7D3C9D">
            <w:pPr>
              <w:cnfStyle w:val="000000100000" w:firstRow="0" w:lastRow="0" w:firstColumn="0" w:lastColumn="0" w:oddVBand="0" w:evenVBand="0" w:oddHBand="1" w:evenHBand="0" w:firstRowFirstColumn="0" w:firstRowLastColumn="0" w:lastRowFirstColumn="0" w:lastRowLastColumn="0"/>
            </w:pPr>
            <w:r>
              <w:t>Chloe Martin, Marketing Director</w:t>
            </w:r>
          </w:p>
        </w:tc>
        <w:tc>
          <w:tcPr>
            <w:tcW w:w="1400" w:type="dxa"/>
            <w:tcMar/>
          </w:tcPr>
          <w:p w:rsidR="04165CAD" w:rsidRDefault="04165CAD" w14:paraId="4919751C" w14:textId="645B2361">
            <w:pPr>
              <w:cnfStyle w:val="000000100000" w:firstRow="0" w:lastRow="0" w:firstColumn="0" w:lastColumn="0" w:oddVBand="0" w:evenVBand="0" w:oddHBand="1" w:evenHBand="0" w:firstRowFirstColumn="0" w:firstRowLastColumn="0" w:lastRowFirstColumn="0" w:lastRowLastColumn="0"/>
            </w:pPr>
            <w:r>
              <w:t>Monthly plan</w:t>
            </w:r>
          </w:p>
        </w:tc>
      </w:tr>
      <w:tr w:rsidR="04165CAD" w:rsidTr="2E6CA6CC" w14:paraId="3E50F622" w14:textId="77777777">
        <w:trPr>
          <w:cnfStyle w:val="000000010000" w:firstRow="0" w:lastRow="0" w:firstColumn="0" w:lastColumn="0" w:oddVBand="0" w:evenVBand="0" w:oddHBand="0" w:evenHBand="1" w:firstRowFirstColumn="0" w:firstRowLastColumn="0" w:lastRowFirstColumn="0" w:lastRowLastColumn="0"/>
        </w:trPr>
        <w:tc>
          <w:tcPr>
            <w:tcW w:w="1500" w:type="dxa"/>
            <w:tcMar/>
          </w:tcPr>
          <w:p w:rsidR="04165CAD" w:rsidRDefault="04165CAD" w14:paraId="38036231" w14:textId="7B7083D6">
            <w:r>
              <w:t>SAP Business One</w:t>
            </w:r>
          </w:p>
        </w:tc>
        <w:tc>
          <w:tcPr>
            <w:tcW w:w="2300" w:type="dxa"/>
            <w:tcMar/>
          </w:tcPr>
          <w:p w:rsidR="04165CAD" w:rsidRDefault="04165CAD" w14:paraId="4FB679E2" w14:textId="744E6A9A">
            <w:pPr>
              <w:cnfStyle w:val="000000010000" w:firstRow="0" w:lastRow="0" w:firstColumn="0" w:lastColumn="0" w:oddVBand="0" w:evenVBand="0" w:oddHBand="0" w:evenHBand="1" w:firstRowFirstColumn="0" w:firstRowLastColumn="0" w:lastRowFirstColumn="0" w:lastRowLastColumn="0"/>
            </w:pPr>
            <w:r>
              <w:t>Finance, inventory, sales orders, purchasing for the UAE entity</w:t>
            </w:r>
          </w:p>
        </w:tc>
        <w:tc>
          <w:tcPr>
            <w:tcW w:w="1500" w:type="dxa"/>
            <w:tcMar/>
          </w:tcPr>
          <w:p w:rsidR="04165CAD" w:rsidRDefault="04165CAD" w14:paraId="485ACE6B" w14:textId="6D2C515E">
            <w:pPr>
              <w:cnfStyle w:val="000000010000" w:firstRow="0" w:lastRow="0" w:firstColumn="0" w:lastColumn="0" w:oddVBand="0" w:evenVBand="0" w:oddHBand="0" w:evenHBand="1" w:firstRowFirstColumn="0" w:firstRowLastColumn="0" w:lastRowFirstColumn="0" w:lastRowLastColumn="0"/>
            </w:pPr>
            <w:r>
              <w:t>120 users</w:t>
            </w:r>
          </w:p>
        </w:tc>
        <w:tc>
          <w:tcPr>
            <w:tcW w:w="1500" w:type="dxa"/>
            <w:tcMar/>
          </w:tcPr>
          <w:p w:rsidR="04165CAD" w:rsidRDefault="04165CAD" w14:paraId="4F2BBCF0" w14:textId="660A3822">
            <w:pPr>
              <w:cnfStyle w:val="000000010000" w:firstRow="0" w:lastRow="0" w:firstColumn="0" w:lastColumn="0" w:oddVBand="0" w:evenVBand="0" w:oddHBand="0" w:evenHBand="1" w:firstRowFirstColumn="0" w:firstRowLastColumn="0" w:lastRowFirstColumn="0" w:lastRowLastColumn="0"/>
            </w:pPr>
            <w:r>
              <w:t>On-premises, Dubai data centre</w:t>
            </w:r>
          </w:p>
        </w:tc>
        <w:tc>
          <w:tcPr>
            <w:tcW w:w="1500" w:type="dxa"/>
            <w:tcMar/>
          </w:tcPr>
          <w:p w:rsidR="04165CAD" w:rsidRDefault="04165CAD" w14:paraId="7504A668" w14:textId="5EE81EE6">
            <w:pPr>
              <w:cnfStyle w:val="000000010000" w:firstRow="0" w:lastRow="0" w:firstColumn="0" w:lastColumn="0" w:oddVBand="0" w:evenVBand="0" w:oddHBand="0" w:evenHBand="1" w:firstRowFirstColumn="0" w:firstRowLastColumn="0" w:lastRowFirstColumn="0" w:lastRowLastColumn="0"/>
            </w:pPr>
            <w:r>
              <w:t>Khalid Rahman, CFO</w:t>
            </w:r>
          </w:p>
        </w:tc>
        <w:tc>
          <w:tcPr>
            <w:tcW w:w="1400" w:type="dxa"/>
            <w:tcMar/>
          </w:tcPr>
          <w:p w:rsidR="04165CAD" w:rsidRDefault="04165CAD" w14:paraId="27CE89EE" w14:textId="57C605AA">
            <w:pPr>
              <w:cnfStyle w:val="000000010000" w:firstRow="0" w:lastRow="0" w:firstColumn="0" w:lastColumn="0" w:oddVBand="0" w:evenVBand="0" w:oddHBand="0" w:evenHBand="1" w:firstRowFirstColumn="0" w:firstRowLastColumn="0" w:lastRowFirstColumn="0" w:lastRowLastColumn="0"/>
            </w:pPr>
            <w:r>
              <w:t>Support contract to 31 Dec 2027; to be replaced</w:t>
            </w:r>
          </w:p>
        </w:tc>
      </w:tr>
      <w:tr w:rsidR="04165CAD" w:rsidTr="2E6CA6CC" w14:paraId="45B76934" w14:textId="77777777">
        <w:trPr>
          <w:cnfStyle w:val="000000100000" w:firstRow="0" w:lastRow="0" w:firstColumn="0" w:lastColumn="0" w:oddVBand="0" w:evenVBand="0" w:oddHBand="1" w:evenHBand="0" w:firstRowFirstColumn="0" w:firstRowLastColumn="0" w:lastRowFirstColumn="0" w:lastRowLastColumn="0"/>
        </w:trPr>
        <w:tc>
          <w:tcPr>
            <w:tcW w:w="1500" w:type="dxa"/>
            <w:tcMar/>
          </w:tcPr>
          <w:p w:rsidR="04165CAD" w:rsidRDefault="04165CAD" w14:paraId="52B84C49" w14:textId="6EDB661F">
            <w:r>
              <w:t>Sage 300</w:t>
            </w:r>
          </w:p>
        </w:tc>
        <w:tc>
          <w:tcPr>
            <w:tcW w:w="2300" w:type="dxa"/>
            <w:tcMar/>
          </w:tcPr>
          <w:p w:rsidR="04165CAD" w:rsidRDefault="04165CAD" w14:paraId="6D7D1114" w14:textId="67B94CE3">
            <w:pPr>
              <w:cnfStyle w:val="000000100000" w:firstRow="0" w:lastRow="0" w:firstColumn="0" w:lastColumn="0" w:oddVBand="0" w:evenVBand="0" w:oddHBand="1" w:evenHBand="0" w:firstRowFirstColumn="0" w:firstRowLastColumn="0" w:lastRowFirstColumn="0" w:lastRowLastColumn="0"/>
            </w:pPr>
            <w:r>
              <w:t>Finance, inventory and orders for KSA and Oman</w:t>
            </w:r>
          </w:p>
        </w:tc>
        <w:tc>
          <w:tcPr>
            <w:tcW w:w="1500" w:type="dxa"/>
            <w:tcMar/>
          </w:tcPr>
          <w:p w:rsidR="04165CAD" w:rsidRDefault="04165CAD" w14:paraId="49502229" w14:textId="609733A7">
            <w:pPr>
              <w:cnfStyle w:val="000000100000" w:firstRow="0" w:lastRow="0" w:firstColumn="0" w:lastColumn="0" w:oddVBand="0" w:evenVBand="0" w:oddHBand="1" w:evenHBand="0" w:firstRowFirstColumn="0" w:firstRowLastColumn="0" w:lastRowFirstColumn="0" w:lastRowLastColumn="0"/>
            </w:pPr>
            <w:r>
              <w:t>55 users</w:t>
            </w:r>
          </w:p>
        </w:tc>
        <w:tc>
          <w:tcPr>
            <w:tcW w:w="1500" w:type="dxa"/>
            <w:tcMar/>
          </w:tcPr>
          <w:p w:rsidR="04165CAD" w:rsidRDefault="04165CAD" w14:paraId="29814A0C" w14:textId="59751A6B">
            <w:pPr>
              <w:cnfStyle w:val="000000100000" w:firstRow="0" w:lastRow="0" w:firstColumn="0" w:lastColumn="0" w:oddVBand="0" w:evenVBand="0" w:oddHBand="1" w:evenHBand="0" w:firstRowFirstColumn="0" w:firstRowLastColumn="0" w:lastRowFirstColumn="0" w:lastRowLastColumn="0"/>
            </w:pPr>
            <w:r>
              <w:t>On-premises, Riyadh server room</w:t>
            </w:r>
          </w:p>
        </w:tc>
        <w:tc>
          <w:tcPr>
            <w:tcW w:w="1500" w:type="dxa"/>
            <w:tcMar/>
          </w:tcPr>
          <w:p w:rsidR="04165CAD" w:rsidRDefault="04165CAD" w14:paraId="72EEF660" w14:textId="5253012F">
            <w:pPr>
              <w:cnfStyle w:val="000000100000" w:firstRow="0" w:lastRow="0" w:firstColumn="0" w:lastColumn="0" w:oddVBand="0" w:evenVBand="0" w:oddHBand="1" w:evenHBand="0" w:firstRowFirstColumn="0" w:firstRowLastColumn="0" w:lastRowFirstColumn="0" w:lastRowLastColumn="0"/>
            </w:pPr>
            <w:r>
              <w:t>Khalid Rahman, CFO</w:t>
            </w:r>
          </w:p>
        </w:tc>
        <w:tc>
          <w:tcPr>
            <w:tcW w:w="1400" w:type="dxa"/>
            <w:tcMar/>
          </w:tcPr>
          <w:p w:rsidR="04165CAD" w:rsidRDefault="04165CAD" w14:paraId="664A7ED8" w14:textId="4B30E7F3">
            <w:pPr>
              <w:cnfStyle w:val="000000100000" w:firstRow="0" w:lastRow="0" w:firstColumn="0" w:lastColumn="0" w:oddVBand="0" w:evenVBand="0" w:oddHBand="1" w:evenHBand="0" w:firstRowFirstColumn="0" w:firstRowLastColumn="0" w:lastRowFirstColumn="0" w:lastRowLastColumn="0"/>
            </w:pPr>
            <w:r>
              <w:t>Version 2021; out of mainstream support</w:t>
            </w:r>
          </w:p>
        </w:tc>
      </w:tr>
      <w:tr w:rsidR="04165CAD" w:rsidTr="2E6CA6CC" w14:paraId="2310FA8F" w14:textId="77777777">
        <w:trPr>
          <w:cnfStyle w:val="000000010000" w:firstRow="0" w:lastRow="0" w:firstColumn="0" w:lastColumn="0" w:oddVBand="0" w:evenVBand="0" w:oddHBand="0" w:evenHBand="1" w:firstRowFirstColumn="0" w:firstRowLastColumn="0" w:lastRowFirstColumn="0" w:lastRowLastColumn="0"/>
        </w:trPr>
        <w:tc>
          <w:tcPr>
            <w:tcW w:w="1500" w:type="dxa"/>
            <w:tcMar/>
          </w:tcPr>
          <w:p w:rsidR="04165CAD" w:rsidRDefault="04165CAD" w14:paraId="422810AE" w14:textId="62464868">
            <w:r>
              <w:t>Microsoft 365 E3</w:t>
            </w:r>
          </w:p>
        </w:tc>
        <w:tc>
          <w:tcPr>
            <w:tcW w:w="2300" w:type="dxa"/>
            <w:tcMar/>
          </w:tcPr>
          <w:p w:rsidR="04165CAD" w:rsidRDefault="04165CAD" w14:paraId="318421C8" w14:textId="5B242F2C">
            <w:pPr>
              <w:cnfStyle w:val="000000010000" w:firstRow="0" w:lastRow="0" w:firstColumn="0" w:lastColumn="0" w:oddVBand="0" w:evenVBand="0" w:oddHBand="0" w:evenHBand="1" w:firstRowFirstColumn="0" w:firstRowLastColumn="0" w:lastRowFirstColumn="0" w:lastRowLastColumn="0"/>
            </w:pPr>
            <w:r>
              <w:t>Exchange Online, Teams, SharePoint, OneDrive, Office apps</w:t>
            </w:r>
          </w:p>
        </w:tc>
        <w:tc>
          <w:tcPr>
            <w:tcW w:w="1500" w:type="dxa"/>
            <w:tcMar/>
          </w:tcPr>
          <w:p w:rsidR="04165CAD" w:rsidRDefault="04165CAD" w14:paraId="52EC3F20" w14:textId="540215F0">
            <w:pPr>
              <w:cnfStyle w:val="000000010000" w:firstRow="0" w:lastRow="0" w:firstColumn="0" w:lastColumn="0" w:oddVBand="0" w:evenVBand="0" w:oddHBand="0" w:evenHBand="1" w:firstRowFirstColumn="0" w:firstRowLastColumn="0" w:lastRowFirstColumn="0" w:lastRowLastColumn="0"/>
            </w:pPr>
            <w:r>
              <w:t>1,450 users</w:t>
            </w:r>
          </w:p>
        </w:tc>
        <w:tc>
          <w:tcPr>
            <w:tcW w:w="1500" w:type="dxa"/>
            <w:tcMar/>
          </w:tcPr>
          <w:p w:rsidR="04165CAD" w:rsidRDefault="04165CAD" w14:paraId="2D728C73" w14:textId="4CDFFCB4">
            <w:pPr>
              <w:cnfStyle w:val="000000010000" w:firstRow="0" w:lastRow="0" w:firstColumn="0" w:lastColumn="0" w:oddVBand="0" w:evenVBand="0" w:oddHBand="0" w:evenHBand="1" w:firstRowFirstColumn="0" w:firstRowLastColumn="0" w:lastRowFirstColumn="0" w:lastRowLastColumn="0"/>
            </w:pPr>
            <w:r>
              <w:t xml:space="preserve">Microsoft cloud (UAE datacentre </w:t>
            </w:r>
            <w:r>
              <w:lastRenderedPageBreak/>
              <w:t>region)</w:t>
            </w:r>
          </w:p>
        </w:tc>
        <w:tc>
          <w:tcPr>
            <w:tcW w:w="1500" w:type="dxa"/>
            <w:tcMar/>
          </w:tcPr>
          <w:p w:rsidR="04165CAD" w:rsidRDefault="04165CAD" w14:paraId="422CCCD0" w14:textId="45BDE378">
            <w:pPr>
              <w:cnfStyle w:val="000000010000" w:firstRow="0" w:lastRow="0" w:firstColumn="0" w:lastColumn="0" w:oddVBand="0" w:evenVBand="0" w:oddHBand="0" w:evenHBand="1" w:firstRowFirstColumn="0" w:firstRowLastColumn="0" w:lastRowFirstColumn="0" w:lastRowLastColumn="0"/>
            </w:pPr>
            <w:r>
              <w:lastRenderedPageBreak/>
              <w:t>Ahmed Al Mansoori, CIO</w:t>
            </w:r>
          </w:p>
        </w:tc>
        <w:tc>
          <w:tcPr>
            <w:tcW w:w="1400" w:type="dxa"/>
            <w:tcMar/>
          </w:tcPr>
          <w:p w:rsidR="04165CAD" w:rsidRDefault="04165CAD" w14:paraId="7B4BB4B6" w14:textId="3E9BCA3C">
            <w:pPr>
              <w:cnfStyle w:val="000000010000" w:firstRow="0" w:lastRow="0" w:firstColumn="0" w:lastColumn="0" w:oddVBand="0" w:evenVBand="0" w:oddHBand="0" w:evenHBand="1" w:firstRowFirstColumn="0" w:firstRowLastColumn="0" w:lastRowFirstColumn="0" w:lastRowLastColumn="0"/>
            </w:pPr>
            <w:r>
              <w:t xml:space="preserve">Enterprise Agreement to 30 Sep </w:t>
            </w:r>
            <w:r>
              <w:lastRenderedPageBreak/>
              <w:t>2028</w:t>
            </w:r>
          </w:p>
        </w:tc>
      </w:tr>
      <w:tr w:rsidR="04165CAD" w:rsidTr="2E6CA6CC" w14:paraId="677DABC7" w14:textId="77777777">
        <w:trPr>
          <w:cnfStyle w:val="000000100000" w:firstRow="0" w:lastRow="0" w:firstColumn="0" w:lastColumn="0" w:oddVBand="0" w:evenVBand="0" w:oddHBand="1" w:evenHBand="0" w:firstRowFirstColumn="0" w:firstRowLastColumn="0" w:lastRowFirstColumn="0" w:lastRowLastColumn="0"/>
        </w:trPr>
        <w:tc>
          <w:tcPr>
            <w:tcW w:w="1500" w:type="dxa"/>
            <w:tcMar/>
          </w:tcPr>
          <w:p w:rsidR="04165CAD" w:rsidRDefault="04165CAD" w14:paraId="3533C9A7" w14:textId="55B12AB1">
            <w:r>
              <w:lastRenderedPageBreak/>
              <w:t>WhatsApp Business</w:t>
            </w:r>
          </w:p>
        </w:tc>
        <w:tc>
          <w:tcPr>
            <w:tcW w:w="2300" w:type="dxa"/>
            <w:tcMar/>
          </w:tcPr>
          <w:p w:rsidR="04165CAD" w:rsidRDefault="04165CAD" w14:paraId="7930A208" w14:textId="4E8F1175">
            <w:pPr>
              <w:cnfStyle w:val="000000100000" w:firstRow="0" w:lastRow="0" w:firstColumn="0" w:lastColumn="0" w:oddVBand="0" w:evenVBand="0" w:oddHBand="1" w:evenHBand="0" w:firstRowFirstColumn="0" w:firstRowLastColumn="0" w:lastRowFirstColumn="0" w:lastRowLastColumn="0"/>
            </w:pPr>
            <w:r>
              <w:t>Customer chats with the service team in Dubai</w:t>
            </w:r>
          </w:p>
        </w:tc>
        <w:tc>
          <w:tcPr>
            <w:tcW w:w="1500" w:type="dxa"/>
            <w:tcMar/>
          </w:tcPr>
          <w:p w:rsidR="04165CAD" w:rsidRDefault="04165CAD" w14:paraId="3E1C2C58" w14:textId="476CF839">
            <w:pPr>
              <w:cnfStyle w:val="000000100000" w:firstRow="0" w:lastRow="0" w:firstColumn="0" w:lastColumn="0" w:oddVBand="0" w:evenVBand="0" w:oddHBand="1" w:evenHBand="0" w:firstRowFirstColumn="0" w:firstRowLastColumn="0" w:lastRowFirstColumn="0" w:lastRowLastColumn="0"/>
            </w:pPr>
            <w:r>
              <w:t>2 shared handsets; ~420 chats a month</w:t>
            </w:r>
          </w:p>
        </w:tc>
        <w:tc>
          <w:tcPr>
            <w:tcW w:w="1500" w:type="dxa"/>
            <w:tcMar/>
          </w:tcPr>
          <w:p w:rsidR="04165CAD" w:rsidRDefault="04165CAD" w14:paraId="50E41777" w14:textId="404ADEFD">
            <w:pPr>
              <w:cnfStyle w:val="000000100000" w:firstRow="0" w:lastRow="0" w:firstColumn="0" w:lastColumn="0" w:oddVBand="0" w:evenVBand="0" w:oddHBand="1" w:evenHBand="0" w:firstRowFirstColumn="0" w:firstRowLastColumn="0" w:lastRowFirstColumn="0" w:lastRowLastColumn="0"/>
            </w:pPr>
            <w:r>
              <w:t>Meta (app on phones)</w:t>
            </w:r>
          </w:p>
        </w:tc>
        <w:tc>
          <w:tcPr>
            <w:tcW w:w="1500" w:type="dxa"/>
            <w:tcMar/>
          </w:tcPr>
          <w:p w:rsidR="04165CAD" w:rsidRDefault="04165CAD" w14:paraId="4EF2A9E2" w14:textId="3928C5C1">
            <w:pPr>
              <w:cnfStyle w:val="000000100000" w:firstRow="0" w:lastRow="0" w:firstColumn="0" w:lastColumn="0" w:oddVBand="0" w:evenVBand="0" w:oddHBand="1" w:evenHBand="0" w:firstRowFirstColumn="0" w:firstRowLastColumn="0" w:lastRowFirstColumn="0" w:lastRowLastColumn="0"/>
            </w:pPr>
            <w:r>
              <w:t>Mariam Saeed</w:t>
            </w:r>
          </w:p>
        </w:tc>
        <w:tc>
          <w:tcPr>
            <w:tcW w:w="1400" w:type="dxa"/>
            <w:tcMar/>
          </w:tcPr>
          <w:p w:rsidR="04165CAD" w:rsidRDefault="04165CAD" w14:paraId="296C0B01" w14:textId="3206AC85">
            <w:pPr>
              <w:cnfStyle w:val="000000100000" w:firstRow="0" w:lastRow="0" w:firstColumn="0" w:lastColumn="0" w:oddVBand="0" w:evenVBand="0" w:oddHBand="1" w:evenHBand="0" w:firstRowFirstColumn="0" w:firstRowLastColumn="0" w:lastRowFirstColumn="0" w:lastRowLastColumn="0"/>
            </w:pPr>
            <w:r>
              <w:t>No API integration today</w:t>
            </w:r>
          </w:p>
        </w:tc>
      </w:tr>
      <w:tr w:rsidR="04165CAD" w:rsidTr="2E6CA6CC" w14:paraId="65EE8A5D" w14:textId="77777777">
        <w:trPr>
          <w:cnfStyle w:val="000000010000" w:firstRow="0" w:lastRow="0" w:firstColumn="0" w:lastColumn="0" w:oddVBand="0" w:evenVBand="0" w:oddHBand="0" w:evenHBand="1" w:firstRowFirstColumn="0" w:firstRowLastColumn="0" w:lastRowFirstColumn="0" w:lastRowLastColumn="0"/>
        </w:trPr>
        <w:tc>
          <w:tcPr>
            <w:tcW w:w="1500" w:type="dxa"/>
            <w:tcMar/>
          </w:tcPr>
          <w:p w:rsidR="04165CAD" w:rsidRDefault="04165CAD" w14:paraId="4E3408E6" w14:textId="491C0CFA">
            <w:r>
              <w:t>Azure AD (Microsoft Entra ID)</w:t>
            </w:r>
          </w:p>
        </w:tc>
        <w:tc>
          <w:tcPr>
            <w:tcW w:w="2300" w:type="dxa"/>
            <w:tcMar/>
          </w:tcPr>
          <w:p w:rsidR="04165CAD" w:rsidRDefault="04165CAD" w14:paraId="1805F0EB" w14:textId="41F9F3BE">
            <w:pPr>
              <w:cnfStyle w:val="000000010000" w:firstRow="0" w:lastRow="0" w:firstColumn="0" w:lastColumn="0" w:oddVBand="0" w:evenVBand="0" w:oddHBand="0" w:evenHBand="1" w:firstRowFirstColumn="0" w:firstRowLastColumn="0" w:lastRowFirstColumn="0" w:lastRowLastColumn="0"/>
            </w:pPr>
            <w:r>
              <w:t>Identity, single sign-on, MFA, conditional access</w:t>
            </w:r>
          </w:p>
        </w:tc>
        <w:tc>
          <w:tcPr>
            <w:tcW w:w="1500" w:type="dxa"/>
            <w:tcMar/>
          </w:tcPr>
          <w:p w:rsidR="04165CAD" w:rsidRDefault="04165CAD" w14:paraId="421301AD" w14:textId="3AD7DA82">
            <w:pPr>
              <w:cnfStyle w:val="000000010000" w:firstRow="0" w:lastRow="0" w:firstColumn="0" w:lastColumn="0" w:oddVBand="0" w:evenVBand="0" w:oddHBand="0" w:evenHBand="1" w:firstRowFirstColumn="0" w:firstRowLastColumn="0" w:lastRowFirstColumn="0" w:lastRowLastColumn="0"/>
            </w:pPr>
            <w:r>
              <w:t>1,450 users; 9 SSO apps</w:t>
            </w:r>
          </w:p>
        </w:tc>
        <w:tc>
          <w:tcPr>
            <w:tcW w:w="1500" w:type="dxa"/>
            <w:tcMar/>
          </w:tcPr>
          <w:p w:rsidR="04165CAD" w:rsidRDefault="04165CAD" w14:paraId="1A39179A" w14:textId="33B5C146">
            <w:pPr>
              <w:cnfStyle w:val="000000010000" w:firstRow="0" w:lastRow="0" w:firstColumn="0" w:lastColumn="0" w:oddVBand="0" w:evenVBand="0" w:oddHBand="0" w:evenHBand="1" w:firstRowFirstColumn="0" w:firstRowLastColumn="0" w:lastRowFirstColumn="0" w:lastRowLastColumn="0"/>
            </w:pPr>
            <w:r>
              <w:t>Microsoft cloud</w:t>
            </w:r>
          </w:p>
        </w:tc>
        <w:tc>
          <w:tcPr>
            <w:tcW w:w="1500" w:type="dxa"/>
            <w:tcMar/>
          </w:tcPr>
          <w:p w:rsidR="04165CAD" w:rsidRDefault="04165CAD" w14:paraId="25B41EE5" w14:textId="2C93A80A">
            <w:pPr>
              <w:cnfStyle w:val="000000010000" w:firstRow="0" w:lastRow="0" w:firstColumn="0" w:lastColumn="0" w:oddVBand="0" w:evenVBand="0" w:oddHBand="0" w:evenHBand="1" w:firstRowFirstColumn="0" w:firstRowLastColumn="0" w:lastRowFirstColumn="0" w:lastRowLastColumn="0"/>
            </w:pPr>
            <w:r>
              <w:t>Yusuf Ibrahim</w:t>
            </w:r>
          </w:p>
        </w:tc>
        <w:tc>
          <w:tcPr>
            <w:tcW w:w="1400" w:type="dxa"/>
            <w:tcMar/>
          </w:tcPr>
          <w:p w:rsidR="04165CAD" w:rsidRDefault="04165CAD" w14:paraId="1CFFFB7C" w14:textId="25718ECE">
            <w:pPr>
              <w:cnfStyle w:val="000000010000" w:firstRow="0" w:lastRow="0" w:firstColumn="0" w:lastColumn="0" w:oddVBand="0" w:evenVBand="0" w:oddHBand="0" w:evenHBand="1" w:firstRowFirstColumn="0" w:firstRowLastColumn="0" w:lastRowFirstColumn="0" w:lastRowLastColumn="0"/>
            </w:pPr>
            <w:r>
              <w:t>Included in M365 E3</w:t>
            </w:r>
          </w:p>
        </w:tc>
      </w:tr>
      <w:tr w:rsidR="04165CAD" w:rsidTr="2E6CA6CC" w14:paraId="639F0BA2" w14:textId="77777777">
        <w:trPr>
          <w:cnfStyle w:val="000000100000" w:firstRow="0" w:lastRow="0" w:firstColumn="0" w:lastColumn="0" w:oddVBand="0" w:evenVBand="0" w:oddHBand="1" w:evenHBand="0" w:firstRowFirstColumn="0" w:firstRowLastColumn="0" w:lastRowFirstColumn="0" w:lastRowLastColumn="0"/>
        </w:trPr>
        <w:tc>
          <w:tcPr>
            <w:tcW w:w="1500" w:type="dxa"/>
            <w:tcMar/>
          </w:tcPr>
          <w:p w:rsidR="04165CAD" w:rsidRDefault="04165CAD" w14:paraId="3BFD412E" w14:textId="3C86EF43">
            <w:r>
              <w:t>SQL data warehouse</w:t>
            </w:r>
          </w:p>
        </w:tc>
        <w:tc>
          <w:tcPr>
            <w:tcW w:w="2300" w:type="dxa"/>
            <w:tcMar/>
          </w:tcPr>
          <w:p w:rsidR="04165CAD" w:rsidRDefault="04165CAD" w14:paraId="43C352BB" w14:textId="3564D607">
            <w:pPr>
              <w:cnfStyle w:val="000000100000" w:firstRow="0" w:lastRow="0" w:firstColumn="0" w:lastColumn="0" w:oddVBand="0" w:evenVBand="0" w:oddHBand="1" w:evenHBand="0" w:firstRowFirstColumn="0" w:firstRowLastColumn="0" w:lastRowFirstColumn="0" w:lastRowLastColumn="0"/>
            </w:pPr>
            <w:r>
              <w:t>Nightly reporting store; SSRS and Excel reports</w:t>
            </w:r>
          </w:p>
        </w:tc>
        <w:tc>
          <w:tcPr>
            <w:tcW w:w="1500" w:type="dxa"/>
            <w:tcMar/>
          </w:tcPr>
          <w:p w:rsidR="04165CAD" w:rsidRDefault="04165CAD" w14:paraId="7FF3E7CB" w14:textId="2E42BCCB">
            <w:pPr>
              <w:cnfStyle w:val="000000100000" w:firstRow="0" w:lastRow="0" w:firstColumn="0" w:lastColumn="0" w:oddVBand="0" w:evenVBand="0" w:oddHBand="1" w:evenHBand="0" w:firstRowFirstColumn="0" w:firstRowLastColumn="0" w:lastRowFirstColumn="0" w:lastRowLastColumn="0"/>
            </w:pPr>
            <w:r>
              <w:t>1.2 TB; 60 report users</w:t>
            </w:r>
          </w:p>
        </w:tc>
        <w:tc>
          <w:tcPr>
            <w:tcW w:w="1500" w:type="dxa"/>
            <w:tcMar/>
          </w:tcPr>
          <w:p w:rsidR="04165CAD" w:rsidRDefault="04165CAD" w14:paraId="3711067A" w14:textId="2720A38F">
            <w:pPr>
              <w:cnfStyle w:val="000000100000" w:firstRow="0" w:lastRow="0" w:firstColumn="0" w:lastColumn="0" w:oddVBand="0" w:evenVBand="0" w:oddHBand="1" w:evenHBand="0" w:firstRowFirstColumn="0" w:firstRowLastColumn="0" w:lastRowFirstColumn="0" w:lastRowLastColumn="0"/>
            </w:pPr>
            <w:r>
              <w:t>On-premises SQL Server 2016, Dubai</w:t>
            </w:r>
          </w:p>
        </w:tc>
        <w:tc>
          <w:tcPr>
            <w:tcW w:w="1500" w:type="dxa"/>
            <w:tcMar/>
          </w:tcPr>
          <w:p w:rsidR="04165CAD" w:rsidRDefault="04165CAD" w14:paraId="20C54CC5" w14:textId="1FFE8A53">
            <w:pPr>
              <w:cnfStyle w:val="000000100000" w:firstRow="0" w:lastRow="0" w:firstColumn="0" w:lastColumn="0" w:oddVBand="0" w:evenVBand="0" w:oddHBand="1" w:evenHBand="0" w:firstRowFirstColumn="0" w:firstRowLastColumn="0" w:lastRowFirstColumn="0" w:lastRowLastColumn="0"/>
            </w:pPr>
            <w:r>
              <w:t>Yusuf Ibrahim</w:t>
            </w:r>
          </w:p>
        </w:tc>
        <w:tc>
          <w:tcPr>
            <w:tcW w:w="1400" w:type="dxa"/>
            <w:tcMar/>
          </w:tcPr>
          <w:p w:rsidR="04165CAD" w:rsidRDefault="04165CAD" w14:paraId="550FAA22" w14:textId="18DC7117">
            <w:pPr>
              <w:cnfStyle w:val="000000100000" w:firstRow="0" w:lastRow="0" w:firstColumn="0" w:lastColumn="0" w:oddVBand="0" w:evenVBand="0" w:oddHBand="1" w:evenHBand="0" w:firstRowFirstColumn="0" w:firstRowLastColumn="0" w:lastRowFirstColumn="0" w:lastRowLastColumn="0"/>
            </w:pPr>
            <w:r>
              <w:t>Hardware end of life Q3 2027</w:t>
            </w:r>
          </w:p>
        </w:tc>
      </w:tr>
      <w:tr w:rsidR="04165CAD" w:rsidTr="2E6CA6CC" w14:paraId="47B0174B" w14:textId="77777777">
        <w:trPr>
          <w:cnfStyle w:val="000000010000" w:firstRow="0" w:lastRow="0" w:firstColumn="0" w:lastColumn="0" w:oddVBand="0" w:evenVBand="0" w:oddHBand="0" w:evenHBand="1" w:firstRowFirstColumn="0" w:firstRowLastColumn="0" w:lastRowFirstColumn="0" w:lastRowLastColumn="0"/>
        </w:trPr>
        <w:tc>
          <w:tcPr>
            <w:tcW w:w="1500" w:type="dxa"/>
            <w:tcMar/>
          </w:tcPr>
          <w:p w:rsidR="04165CAD" w:rsidRDefault="04165CAD" w14:paraId="4F5F87DE" w14:textId="2FF1D18C">
            <w:r>
              <w:t>Rental-equipment app</w:t>
            </w:r>
          </w:p>
        </w:tc>
        <w:tc>
          <w:tcPr>
            <w:tcW w:w="2300" w:type="dxa"/>
            <w:tcMar/>
          </w:tcPr>
          <w:p w:rsidR="04165CAD" w:rsidRDefault="04165CAD" w14:paraId="798E9829" w14:textId="28CFB850">
            <w:pPr>
              <w:cnfStyle w:val="000000010000" w:firstRow="0" w:lastRow="0" w:firstColumn="0" w:lastColumn="0" w:oddVBand="0" w:evenVBand="0" w:oddHBand="0" w:evenHBand="1" w:firstRowFirstColumn="0" w:firstRowLastColumn="0" w:lastRowFirstColumn="0" w:lastRowLastColumn="0"/>
            </w:pPr>
            <w:r>
              <w:t>Bespoke .NET app for rental fleet, rate card, rental agreements, deposits and returns</w:t>
            </w:r>
          </w:p>
        </w:tc>
        <w:tc>
          <w:tcPr>
            <w:tcW w:w="1500" w:type="dxa"/>
            <w:tcMar/>
          </w:tcPr>
          <w:p w:rsidR="04165CAD" w:rsidRDefault="04165CAD" w14:paraId="5E93A53E" w14:textId="21AD9F14">
            <w:pPr>
              <w:cnfStyle w:val="000000010000" w:firstRow="0" w:lastRow="0" w:firstColumn="0" w:lastColumn="0" w:oddVBand="0" w:evenVBand="0" w:oddHBand="0" w:evenHBand="1" w:firstRowFirstColumn="0" w:firstRowLastColumn="0" w:lastRowFirstColumn="0" w:lastRowLastColumn="0"/>
            </w:pPr>
            <w:r>
              <w:t>35 users; 2,300 fleet assets</w:t>
            </w:r>
          </w:p>
        </w:tc>
        <w:tc>
          <w:tcPr>
            <w:tcW w:w="1500" w:type="dxa"/>
            <w:tcMar/>
          </w:tcPr>
          <w:p w:rsidR="04165CAD" w:rsidRDefault="04165CAD" w14:paraId="5F015752" w14:textId="1A8B85D8">
            <w:pPr>
              <w:cnfStyle w:val="000000010000" w:firstRow="0" w:lastRow="0" w:firstColumn="0" w:lastColumn="0" w:oddVBand="0" w:evenVBand="0" w:oddHBand="0" w:evenHBand="1" w:firstRowFirstColumn="0" w:firstRowLastColumn="0" w:lastRowFirstColumn="0" w:lastRowLastColumn="0"/>
            </w:pPr>
            <w:r>
              <w:t>On-premises IIS + SQL Server, Dubai</w:t>
            </w:r>
          </w:p>
        </w:tc>
        <w:tc>
          <w:tcPr>
            <w:tcW w:w="1500" w:type="dxa"/>
            <w:tcMar/>
          </w:tcPr>
          <w:p w:rsidR="04165CAD" w:rsidRDefault="04165CAD" w14:paraId="2F09D567" w14:textId="13696C9C">
            <w:pPr>
              <w:cnfStyle w:val="000000010000" w:firstRow="0" w:lastRow="0" w:firstColumn="0" w:lastColumn="0" w:oddVBand="0" w:evenVBand="0" w:oddHBand="0" w:evenHBand="1" w:firstRowFirstColumn="0" w:firstRowLastColumn="0" w:lastRowFirstColumn="0" w:lastRowLastColumn="0"/>
            </w:pPr>
            <w:r>
              <w:t>Daniel Reyes (rental desk)</w:t>
            </w:r>
          </w:p>
        </w:tc>
        <w:tc>
          <w:tcPr>
            <w:tcW w:w="1400" w:type="dxa"/>
            <w:tcMar/>
          </w:tcPr>
          <w:p w:rsidR="04165CAD" w:rsidRDefault="04165CAD" w14:paraId="4060C90A" w14:textId="0C475360">
            <w:pPr>
              <w:cnfStyle w:val="000000010000" w:firstRow="0" w:lastRow="0" w:firstColumn="0" w:lastColumn="0" w:oddVBand="0" w:evenVBand="0" w:oddHBand="0" w:evenHBand="1" w:firstRowFirstColumn="0" w:firstRowLastColumn="0" w:lastRowFirstColumn="0" w:lastRowLastColumn="0"/>
            </w:pPr>
            <w:r>
              <w:t>Built 2017 by a local firm; one in-house developer</w:t>
            </w:r>
          </w:p>
        </w:tc>
      </w:tr>
      <w:tr w:rsidR="04165CAD" w:rsidTr="2E6CA6CC" w14:paraId="131178F0" w14:textId="77777777">
        <w:trPr>
          <w:cnfStyle w:val="000000100000" w:firstRow="0" w:lastRow="0" w:firstColumn="0" w:lastColumn="0" w:oddVBand="0" w:evenVBand="0" w:oddHBand="1" w:evenHBand="0" w:firstRowFirstColumn="0" w:firstRowLastColumn="0" w:lastRowFirstColumn="0" w:lastRowLastColumn="0"/>
        </w:trPr>
        <w:tc>
          <w:tcPr>
            <w:tcW w:w="1500" w:type="dxa"/>
            <w:tcMar/>
          </w:tcPr>
          <w:p w:rsidR="04165CAD" w:rsidRDefault="04165CAD" w14:paraId="203136CD" w14:textId="235CB3D5">
            <w:r>
              <w:t>Logistics partner API</w:t>
            </w:r>
          </w:p>
        </w:tc>
        <w:tc>
          <w:tcPr>
            <w:tcW w:w="2300" w:type="dxa"/>
            <w:tcMar/>
          </w:tcPr>
          <w:p w:rsidR="04165CAD" w:rsidRDefault="04165CAD" w14:paraId="6AFBB18E" w14:textId="1C3A9A99">
            <w:pPr>
              <w:cnfStyle w:val="000000100000" w:firstRow="0" w:lastRow="0" w:firstColumn="0" w:lastColumn="0" w:oddVBand="0" w:evenVBand="0" w:oddHBand="1" w:evenHBand="0" w:firstRowFirstColumn="0" w:firstRowLastColumn="0" w:lastRowFirstColumn="0" w:lastRowLastColumn="0"/>
            </w:pPr>
            <w:r>
              <w:t>Delivery bookings and status from the third-party logistics partner</w:t>
            </w:r>
          </w:p>
        </w:tc>
        <w:tc>
          <w:tcPr>
            <w:tcW w:w="1500" w:type="dxa"/>
            <w:tcMar/>
          </w:tcPr>
          <w:p w:rsidR="04165CAD" w:rsidRDefault="04165CAD" w14:paraId="75D2DC22" w14:textId="1518815D">
            <w:pPr>
              <w:cnfStyle w:val="000000100000" w:firstRow="0" w:lastRow="0" w:firstColumn="0" w:lastColumn="0" w:oddVBand="0" w:evenVBand="0" w:oddHBand="1" w:evenHBand="0" w:firstRowFirstColumn="0" w:firstRowLastColumn="0" w:lastRowFirstColumn="0" w:lastRowLastColumn="0"/>
            </w:pPr>
            <w:r>
              <w:t>Approx. 6,500 deliveries a month</w:t>
            </w:r>
          </w:p>
        </w:tc>
        <w:tc>
          <w:tcPr>
            <w:tcW w:w="1500" w:type="dxa"/>
            <w:tcMar/>
          </w:tcPr>
          <w:p w:rsidR="04165CAD" w:rsidRDefault="04165CAD" w14:paraId="4CDAC7E7" w14:textId="0DF66821">
            <w:pPr>
              <w:cnfStyle w:val="000000100000" w:firstRow="0" w:lastRow="0" w:firstColumn="0" w:lastColumn="0" w:oddVBand="0" w:evenVBand="0" w:oddHBand="1" w:evenHBand="0" w:firstRowFirstColumn="0" w:firstRowLastColumn="0" w:lastRowFirstColumn="0" w:lastRowLastColumn="0"/>
            </w:pPr>
            <w:r>
              <w:t>Partner-hosted REST API</w:t>
            </w:r>
          </w:p>
        </w:tc>
        <w:tc>
          <w:tcPr>
            <w:tcW w:w="1500" w:type="dxa"/>
            <w:tcMar/>
          </w:tcPr>
          <w:p w:rsidR="04165CAD" w:rsidRDefault="04165CAD" w14:paraId="18E292EA" w14:textId="06D44EE5">
            <w:pPr>
              <w:cnfStyle w:val="000000100000" w:firstRow="0" w:lastRow="0" w:firstColumn="0" w:lastColumn="0" w:oddVBand="0" w:evenVBand="0" w:oddHBand="1" w:evenHBand="0" w:firstRowFirstColumn="0" w:firstRowLastColumn="0" w:lastRowFirstColumn="0" w:lastRowLastColumn="0"/>
            </w:pPr>
            <w:r>
              <w:t>Khalid Rahman (supply chain)</w:t>
            </w:r>
          </w:p>
        </w:tc>
        <w:tc>
          <w:tcPr>
            <w:tcW w:w="1400" w:type="dxa"/>
            <w:tcMar/>
          </w:tcPr>
          <w:p w:rsidR="04165CAD" w:rsidRDefault="04165CAD" w14:paraId="1D54F7B6" w14:textId="7FB235A9">
            <w:pPr>
              <w:cnfStyle w:val="000000100000" w:firstRow="0" w:lastRow="0" w:firstColumn="0" w:lastColumn="0" w:oddVBand="0" w:evenVBand="0" w:oddHBand="1" w:evenHBand="0" w:firstRowFirstColumn="0" w:firstRowLastColumn="0" w:lastRowFirstColumn="0" w:lastRowLastColumn="0"/>
            </w:pPr>
            <w:r>
              <w:t>Partner contract to 31 Dec 2027</w:t>
            </w:r>
          </w:p>
        </w:tc>
      </w:tr>
      <w:tr w:rsidR="04165CAD" w:rsidTr="2E6CA6CC" w14:paraId="260FF3B3" w14:textId="77777777">
        <w:trPr>
          <w:cnfStyle w:val="000000010000" w:firstRow="0" w:lastRow="0" w:firstColumn="0" w:lastColumn="0" w:oddVBand="0" w:evenVBand="0" w:oddHBand="0" w:evenHBand="1" w:firstRowFirstColumn="0" w:firstRowLastColumn="0" w:lastRowFirstColumn="0" w:lastRowLastColumn="0"/>
        </w:trPr>
        <w:tc>
          <w:tcPr>
            <w:tcW w:w="1500" w:type="dxa"/>
            <w:tcMar/>
          </w:tcPr>
          <w:p w:rsidR="04165CAD" w:rsidRDefault="04165CAD" w14:paraId="7FE1723C" w14:textId="16C7961E">
            <w:r>
              <w:t>Bank host-to-host</w:t>
            </w:r>
          </w:p>
        </w:tc>
        <w:tc>
          <w:tcPr>
            <w:tcW w:w="2300" w:type="dxa"/>
            <w:tcMar/>
          </w:tcPr>
          <w:p w:rsidR="04165CAD" w:rsidRDefault="04165CAD" w14:paraId="3BE74A65" w14:textId="0FA57CE2" w14:noSpellErr="1">
            <w:pPr>
              <w:cnfStyle w:val="000000010000" w:firstRow="0" w:lastRow="0" w:firstColumn="0" w:lastColumn="0" w:oddVBand="0" w:evenVBand="0" w:oddHBand="0" w:evenHBand="1" w:firstRowFirstColumn="0" w:firstRowLastColumn="0" w:lastRowFirstColumn="0" w:lastRowLastColumn="0"/>
            </w:pPr>
            <w:r w:rsidR="59232A41">
              <w:rPr/>
              <w:t>Payment files and bank statements with Zava's two main banks</w:t>
            </w:r>
          </w:p>
        </w:tc>
        <w:tc>
          <w:tcPr>
            <w:tcW w:w="1500" w:type="dxa"/>
            <w:tcMar/>
          </w:tcPr>
          <w:p w:rsidR="04165CAD" w:rsidRDefault="04165CAD" w14:paraId="4D0C6A8F" w14:textId="088363A6">
            <w:pPr>
              <w:cnfStyle w:val="000000010000" w:firstRow="0" w:lastRow="0" w:firstColumn="0" w:lastColumn="0" w:oddVBand="0" w:evenVBand="0" w:oddHBand="0" w:evenHBand="1" w:firstRowFirstColumn="0" w:firstRowLastColumn="0" w:lastRowFirstColumn="0" w:lastRowLastColumn="0"/>
            </w:pPr>
            <w:r>
              <w:t>Daily files, UAE and KSA</w:t>
            </w:r>
          </w:p>
        </w:tc>
        <w:tc>
          <w:tcPr>
            <w:tcW w:w="1500" w:type="dxa"/>
            <w:tcMar/>
          </w:tcPr>
          <w:p w:rsidR="04165CAD" w:rsidRDefault="04165CAD" w14:paraId="28F24664" w14:textId="01614A6A">
            <w:pPr>
              <w:cnfStyle w:val="000000010000" w:firstRow="0" w:lastRow="0" w:firstColumn="0" w:lastColumn="0" w:oddVBand="0" w:evenVBand="0" w:oddHBand="0" w:evenHBand="1" w:firstRowFirstColumn="0" w:firstRowLastColumn="0" w:lastRowFirstColumn="0" w:lastRowLastColumn="0"/>
            </w:pPr>
            <w:r>
              <w:t>SFTP from SAP Business One server</w:t>
            </w:r>
          </w:p>
        </w:tc>
        <w:tc>
          <w:tcPr>
            <w:tcW w:w="1500" w:type="dxa"/>
            <w:tcMar/>
          </w:tcPr>
          <w:p w:rsidR="04165CAD" w:rsidRDefault="04165CAD" w14:paraId="53022651" w14:textId="7A3F312E">
            <w:pPr>
              <w:cnfStyle w:val="000000010000" w:firstRow="0" w:lastRow="0" w:firstColumn="0" w:lastColumn="0" w:oddVBand="0" w:evenVBand="0" w:oddHBand="0" w:evenHBand="1" w:firstRowFirstColumn="0" w:firstRowLastColumn="0" w:lastRowFirstColumn="0" w:lastRowLastColumn="0"/>
            </w:pPr>
            <w:r>
              <w:t>Khalid Rahman</w:t>
            </w:r>
          </w:p>
        </w:tc>
        <w:tc>
          <w:tcPr>
            <w:tcW w:w="1400" w:type="dxa"/>
            <w:tcMar/>
          </w:tcPr>
          <w:p w:rsidR="04165CAD" w:rsidRDefault="04165CAD" w14:paraId="45C84B2D" w14:textId="731D17F2">
            <w:pPr>
              <w:cnfStyle w:val="000000010000" w:firstRow="0" w:lastRow="0" w:firstColumn="0" w:lastColumn="0" w:oddVBand="0" w:evenVBand="0" w:oddHBand="0" w:evenHBand="1" w:firstRowFirstColumn="0" w:firstRowLastColumn="0" w:lastRowFirstColumn="0" w:lastRowLastColumn="0"/>
            </w:pPr>
            <w:r>
              <w:t>Live; certificates renew annually in March</w:t>
            </w:r>
          </w:p>
        </w:tc>
      </w:tr>
    </w:tbl>
    <w:p w:rsidR="04165CAD" w:rsidP="04165CAD" w:rsidRDefault="04165CAD" w14:paraId="7DF429D7" w14:textId="315B943C">
      <w:pPr>
        <w:pStyle w:val="Heading1"/>
      </w:pPr>
      <w:r>
        <w:t>3. Interfaces today</w:t>
      </w:r>
    </w:p>
    <w:p w:rsidR="04165CAD" w:rsidRDefault="04165CAD" w14:paraId="5692A9B8" w14:textId="273E29C9">
      <w:r>
        <w:t>Most integration is file-based or manual. There is no integration platform; scheduled jobs run on the SQL Server Agent of the data warehouse server and on Windows Task Scheduler on the SAP Business One server. The table lists every interface that exists today, including the manual ones that bidders are expected to automate.</w:t>
      </w:r>
    </w:p>
    <w:tbl>
      <w:tblPr>
        <w:tblStyle w:val="MediumShading1-Accent1"/>
        <w:tblW w:w="0" w:type="auto"/>
        <w:tblLook w:val="04A0" w:firstRow="1" w:lastRow="0" w:firstColumn="1" w:lastColumn="0" w:noHBand="0" w:noVBand="1"/>
      </w:tblPr>
      <w:tblGrid>
        <w:gridCol w:w="1000"/>
        <w:gridCol w:w="2400"/>
        <w:gridCol w:w="1900"/>
        <w:gridCol w:w="2600"/>
        <w:gridCol w:w="1800"/>
      </w:tblGrid>
      <w:tr w:rsidR="04165CAD" w:rsidTr="04165CAD" w14:paraId="38F854C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112AFAA1" w14:textId="7BEE45EF">
            <w:r>
              <w:t>ID</w:t>
            </w:r>
          </w:p>
        </w:tc>
        <w:tc>
          <w:tcPr>
            <w:tcW w:w="2400" w:type="dxa"/>
          </w:tcPr>
          <w:p w:rsidR="04165CAD" w:rsidRDefault="04165CAD" w14:paraId="2BC0EF03" w14:textId="74CC2CB3">
            <w:pPr>
              <w:cnfStyle w:val="100000000000" w:firstRow="1" w:lastRow="0" w:firstColumn="0" w:lastColumn="0" w:oddVBand="0" w:evenVBand="0" w:oddHBand="0" w:evenHBand="0" w:firstRowFirstColumn="0" w:firstRowLastColumn="0" w:lastRowFirstColumn="0" w:lastRowLastColumn="0"/>
            </w:pPr>
            <w:r>
              <w:t>From → To</w:t>
            </w:r>
          </w:p>
        </w:tc>
        <w:tc>
          <w:tcPr>
            <w:tcW w:w="1900" w:type="dxa"/>
          </w:tcPr>
          <w:p w:rsidR="04165CAD" w:rsidRDefault="04165CAD" w14:paraId="528C420A" w14:textId="6DAA1377">
            <w:pPr>
              <w:cnfStyle w:val="100000000000" w:firstRow="1" w:lastRow="0" w:firstColumn="0" w:lastColumn="0" w:oddVBand="0" w:evenVBand="0" w:oddHBand="0" w:evenHBand="0" w:firstRowFirstColumn="0" w:firstRowLastColumn="0" w:lastRowFirstColumn="0" w:lastRowLastColumn="0"/>
            </w:pPr>
            <w:r>
              <w:t>Data</w:t>
            </w:r>
          </w:p>
        </w:tc>
        <w:tc>
          <w:tcPr>
            <w:tcW w:w="2600" w:type="dxa"/>
          </w:tcPr>
          <w:p w:rsidR="04165CAD" w:rsidRDefault="04165CAD" w14:paraId="4EF8A018" w14:textId="6687FA3B">
            <w:pPr>
              <w:cnfStyle w:val="100000000000" w:firstRow="1" w:lastRow="0" w:firstColumn="0" w:lastColumn="0" w:oddVBand="0" w:evenVBand="0" w:oddHBand="0" w:evenHBand="0" w:firstRowFirstColumn="0" w:firstRowLastColumn="0" w:lastRowFirstColumn="0" w:lastRowLastColumn="0"/>
            </w:pPr>
            <w:r>
              <w:t>Method and frequency</w:t>
            </w:r>
          </w:p>
        </w:tc>
        <w:tc>
          <w:tcPr>
            <w:tcW w:w="1800" w:type="dxa"/>
          </w:tcPr>
          <w:p w:rsidR="04165CAD" w:rsidRDefault="04165CAD" w14:paraId="7FDC20F3" w14:textId="5F65E0FF">
            <w:pPr>
              <w:cnfStyle w:val="100000000000" w:firstRow="1" w:lastRow="0" w:firstColumn="0" w:lastColumn="0" w:oddVBand="0" w:evenVBand="0" w:oddHBand="0" w:evenHBand="0" w:firstRowFirstColumn="0" w:firstRowLastColumn="0" w:lastRowFirstColumn="0" w:lastRowLastColumn="0"/>
            </w:pPr>
            <w:r>
              <w:t>Volume</w:t>
            </w:r>
          </w:p>
        </w:tc>
      </w:tr>
      <w:tr w:rsidR="04165CAD" w:rsidTr="04165CAD" w14:paraId="638C35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28904B2C" w14:textId="767B4174">
            <w:r>
              <w:t>INT-01</w:t>
            </w:r>
          </w:p>
        </w:tc>
        <w:tc>
          <w:tcPr>
            <w:tcW w:w="2400" w:type="dxa"/>
          </w:tcPr>
          <w:p w:rsidR="04165CAD" w:rsidRDefault="04165CAD" w14:paraId="5E6E3745" w14:textId="6F592838">
            <w:pPr>
              <w:cnfStyle w:val="000000100000" w:firstRow="0" w:lastRow="0" w:firstColumn="0" w:lastColumn="0" w:oddVBand="0" w:evenVBand="0" w:oddHBand="1" w:evenHBand="0" w:firstRowFirstColumn="0" w:firstRowLastColumn="0" w:lastRowFirstColumn="0" w:lastRowLastColumn="0"/>
            </w:pPr>
            <w:r>
              <w:t>Website form → Salesforce</w:t>
            </w:r>
          </w:p>
        </w:tc>
        <w:tc>
          <w:tcPr>
            <w:tcW w:w="1900" w:type="dxa"/>
          </w:tcPr>
          <w:p w:rsidR="04165CAD" w:rsidRDefault="04165CAD" w14:paraId="6643DCB7" w14:textId="68370EFC">
            <w:pPr>
              <w:cnfStyle w:val="000000100000" w:firstRow="0" w:lastRow="0" w:firstColumn="0" w:lastColumn="0" w:oddVBand="0" w:evenVBand="0" w:oddHBand="1" w:evenHBand="0" w:firstRowFirstColumn="0" w:firstRowLastColumn="0" w:lastRowFirstColumn="0" w:lastRowLastColumn="0"/>
            </w:pPr>
            <w:r>
              <w:t>Web leads</w:t>
            </w:r>
          </w:p>
        </w:tc>
        <w:tc>
          <w:tcPr>
            <w:tcW w:w="2600" w:type="dxa"/>
          </w:tcPr>
          <w:p w:rsidR="04165CAD" w:rsidRDefault="04165CAD" w14:paraId="36891E17" w14:textId="6114F5C0">
            <w:pPr>
              <w:cnfStyle w:val="000000100000" w:firstRow="0" w:lastRow="0" w:firstColumn="0" w:lastColumn="0" w:oddVBand="0" w:evenVBand="0" w:oddHBand="1" w:evenHBand="0" w:firstRowFirstColumn="0" w:firstRowLastColumn="0" w:lastRowFirstColumn="0" w:lastRowLastColumn="0"/>
            </w:pPr>
            <w:r>
              <w:t>Salesforce Web-to-Lead, real time</w:t>
            </w:r>
          </w:p>
        </w:tc>
        <w:tc>
          <w:tcPr>
            <w:tcW w:w="1800" w:type="dxa"/>
          </w:tcPr>
          <w:p w:rsidR="04165CAD" w:rsidRDefault="04165CAD" w14:paraId="3BD3D7C3" w14:textId="59F2DC84">
            <w:pPr>
              <w:cnfStyle w:val="000000100000" w:firstRow="0" w:lastRow="0" w:firstColumn="0" w:lastColumn="0" w:oddVBand="0" w:evenVBand="0" w:oddHBand="1" w:evenHBand="0" w:firstRowFirstColumn="0" w:firstRowLastColumn="0" w:lastRowFirstColumn="0" w:lastRowLastColumn="0"/>
            </w:pPr>
            <w:r>
              <w:t>~250 leads a month</w:t>
            </w:r>
          </w:p>
        </w:tc>
      </w:tr>
      <w:tr w:rsidR="04165CAD" w:rsidTr="04165CAD" w14:paraId="263382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39471F46" w14:textId="71083CF9">
            <w:r>
              <w:t>INT-02</w:t>
            </w:r>
          </w:p>
        </w:tc>
        <w:tc>
          <w:tcPr>
            <w:tcW w:w="2400" w:type="dxa"/>
          </w:tcPr>
          <w:p w:rsidR="04165CAD" w:rsidRDefault="04165CAD" w14:paraId="7ED903AE" w14:textId="69E623BD">
            <w:pPr>
              <w:cnfStyle w:val="000000010000" w:firstRow="0" w:lastRow="0" w:firstColumn="0" w:lastColumn="0" w:oddVBand="0" w:evenVBand="0" w:oddHBand="0" w:evenHBand="1" w:firstRowFirstColumn="0" w:firstRowLastColumn="0" w:lastRowFirstColumn="0" w:lastRowLastColumn="0"/>
            </w:pPr>
            <w:r>
              <w:t>Salesforce → SQL warehouse</w:t>
            </w:r>
          </w:p>
        </w:tc>
        <w:tc>
          <w:tcPr>
            <w:tcW w:w="1900" w:type="dxa"/>
          </w:tcPr>
          <w:p w:rsidR="04165CAD" w:rsidRDefault="04165CAD" w14:paraId="5F0E79F7" w14:textId="62C40A81">
            <w:pPr>
              <w:cnfStyle w:val="000000010000" w:firstRow="0" w:lastRow="0" w:firstColumn="0" w:lastColumn="0" w:oddVBand="0" w:evenVBand="0" w:oddHBand="0" w:evenHBand="1" w:firstRowFirstColumn="0" w:firstRowLastColumn="0" w:lastRowFirstColumn="0" w:lastRowLastColumn="0"/>
            </w:pPr>
            <w:r>
              <w:t>Accounts, opportunities</w:t>
            </w:r>
          </w:p>
        </w:tc>
        <w:tc>
          <w:tcPr>
            <w:tcW w:w="2600" w:type="dxa"/>
          </w:tcPr>
          <w:p w:rsidR="04165CAD" w:rsidRDefault="04165CAD" w14:paraId="6151D8F3" w14:textId="5BA1F145">
            <w:pPr>
              <w:cnfStyle w:val="000000010000" w:firstRow="0" w:lastRow="0" w:firstColumn="0" w:lastColumn="0" w:oddVBand="0" w:evenVBand="0" w:oddHBand="0" w:evenHBand="1" w:firstRowFirstColumn="0" w:firstRowLastColumn="0" w:lastRowFirstColumn="0" w:lastRowLastColumn="0"/>
            </w:pPr>
            <w:r>
              <w:t>Nightly CSV export via scheduled script</w:t>
            </w:r>
          </w:p>
        </w:tc>
        <w:tc>
          <w:tcPr>
            <w:tcW w:w="1800" w:type="dxa"/>
          </w:tcPr>
          <w:p w:rsidR="04165CAD" w:rsidRDefault="04165CAD" w14:paraId="7A8E1370" w14:textId="547FD809">
            <w:pPr>
              <w:cnfStyle w:val="000000010000" w:firstRow="0" w:lastRow="0" w:firstColumn="0" w:lastColumn="0" w:oddVBand="0" w:evenVBand="0" w:oddHBand="0" w:evenHBand="1" w:firstRowFirstColumn="0" w:firstRowLastColumn="0" w:lastRowFirstColumn="0" w:lastRowLastColumn="0"/>
            </w:pPr>
            <w:r>
              <w:t>~2,600 open opportunities</w:t>
            </w:r>
          </w:p>
        </w:tc>
      </w:tr>
      <w:tr w:rsidR="04165CAD" w:rsidTr="04165CAD" w14:paraId="30CB4E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54BA2B96" w14:textId="6B95387E">
            <w:r>
              <w:t>INT-03</w:t>
            </w:r>
          </w:p>
        </w:tc>
        <w:tc>
          <w:tcPr>
            <w:tcW w:w="2400" w:type="dxa"/>
          </w:tcPr>
          <w:p w:rsidR="04165CAD" w:rsidRDefault="04165CAD" w14:paraId="4EFA516E" w14:textId="64731F42">
            <w:pPr>
              <w:cnfStyle w:val="000000100000" w:firstRow="0" w:lastRow="0" w:firstColumn="0" w:lastColumn="0" w:oddVBand="0" w:evenVBand="0" w:oddHBand="1" w:evenHBand="0" w:firstRowFirstColumn="0" w:firstRowLastColumn="0" w:lastRowFirstColumn="0" w:lastRowLastColumn="0"/>
            </w:pPr>
            <w:r>
              <w:t>Salesforce → SAP Business One / Sage 300</w:t>
            </w:r>
          </w:p>
        </w:tc>
        <w:tc>
          <w:tcPr>
            <w:tcW w:w="1900" w:type="dxa"/>
          </w:tcPr>
          <w:p w:rsidR="04165CAD" w:rsidRDefault="04165CAD" w14:paraId="626ACDD5" w14:textId="5D510606">
            <w:pPr>
              <w:cnfStyle w:val="000000100000" w:firstRow="0" w:lastRow="0" w:firstColumn="0" w:lastColumn="0" w:oddVBand="0" w:evenVBand="0" w:oddHBand="1" w:evenHBand="0" w:firstRowFirstColumn="0" w:firstRowLastColumn="0" w:lastRowFirstColumn="0" w:lastRowLastColumn="0"/>
            </w:pPr>
            <w:r>
              <w:t>Won orders</w:t>
            </w:r>
          </w:p>
        </w:tc>
        <w:tc>
          <w:tcPr>
            <w:tcW w:w="2600" w:type="dxa"/>
          </w:tcPr>
          <w:p w:rsidR="04165CAD" w:rsidRDefault="04165CAD" w14:paraId="26816854" w14:textId="562EECCA">
            <w:pPr>
              <w:cnfStyle w:val="000000100000" w:firstRow="0" w:lastRow="0" w:firstColumn="0" w:lastColumn="0" w:oddVBand="0" w:evenVBand="0" w:oddHBand="1" w:evenHBand="0" w:firstRowFirstColumn="0" w:firstRowLastColumn="0" w:lastRowFirstColumn="0" w:lastRowLastColumn="0"/>
            </w:pPr>
            <w:r>
              <w:t>Manual re-keying by order desk</w:t>
            </w:r>
          </w:p>
        </w:tc>
        <w:tc>
          <w:tcPr>
            <w:tcW w:w="1800" w:type="dxa"/>
          </w:tcPr>
          <w:p w:rsidR="04165CAD" w:rsidRDefault="04165CAD" w14:paraId="501A7E2F" w14:textId="4F0CD38E">
            <w:pPr>
              <w:cnfStyle w:val="000000100000" w:firstRow="0" w:lastRow="0" w:firstColumn="0" w:lastColumn="0" w:oddVBand="0" w:evenVBand="0" w:oddHBand="1" w:evenHBand="0" w:firstRowFirstColumn="0" w:firstRowLastColumn="0" w:lastRowFirstColumn="0" w:lastRowLastColumn="0"/>
            </w:pPr>
            <w:r>
              <w:t>~310 orders a month</w:t>
            </w:r>
          </w:p>
        </w:tc>
      </w:tr>
      <w:tr w:rsidR="04165CAD" w:rsidTr="04165CAD" w14:paraId="7DF31B7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332C1697" w14:textId="66223403">
            <w:r>
              <w:t>INT-04</w:t>
            </w:r>
          </w:p>
        </w:tc>
        <w:tc>
          <w:tcPr>
            <w:tcW w:w="2400" w:type="dxa"/>
          </w:tcPr>
          <w:p w:rsidR="04165CAD" w:rsidRDefault="04165CAD" w14:paraId="6BCC5A8F" w14:textId="5F001AC7">
            <w:pPr>
              <w:cnfStyle w:val="000000010000" w:firstRow="0" w:lastRow="0" w:firstColumn="0" w:lastColumn="0" w:oddVBand="0" w:evenVBand="0" w:oddHBand="0" w:evenHBand="1" w:firstRowFirstColumn="0" w:firstRowLastColumn="0" w:lastRowFirstColumn="0" w:lastRowLastColumn="0"/>
            </w:pPr>
            <w:r>
              <w:t>Zendesk → SQL warehouse</w:t>
            </w:r>
          </w:p>
        </w:tc>
        <w:tc>
          <w:tcPr>
            <w:tcW w:w="1900" w:type="dxa"/>
          </w:tcPr>
          <w:p w:rsidR="04165CAD" w:rsidRDefault="04165CAD" w14:paraId="4E8BD571" w14:textId="57DE018B">
            <w:pPr>
              <w:cnfStyle w:val="000000010000" w:firstRow="0" w:lastRow="0" w:firstColumn="0" w:lastColumn="0" w:oddVBand="0" w:evenVBand="0" w:oddHBand="0" w:evenHBand="1" w:firstRowFirstColumn="0" w:firstRowLastColumn="0" w:lastRowFirstColumn="0" w:lastRowLastColumn="0"/>
            </w:pPr>
            <w:r>
              <w:t>Tickets, CSAT</w:t>
            </w:r>
          </w:p>
        </w:tc>
        <w:tc>
          <w:tcPr>
            <w:tcW w:w="2600" w:type="dxa"/>
          </w:tcPr>
          <w:p w:rsidR="04165CAD" w:rsidRDefault="04165CAD" w14:paraId="650600D2" w14:textId="50BBE84F">
            <w:pPr>
              <w:cnfStyle w:val="000000010000" w:firstRow="0" w:lastRow="0" w:firstColumn="0" w:lastColumn="0" w:oddVBand="0" w:evenVBand="0" w:oddHBand="0" w:evenHBand="1" w:firstRowFirstColumn="0" w:firstRowLastColumn="0" w:lastRowFirstColumn="0" w:lastRowLastColumn="0"/>
            </w:pPr>
            <w:r>
              <w:t>Nightly API pull (Python script)</w:t>
            </w:r>
          </w:p>
        </w:tc>
        <w:tc>
          <w:tcPr>
            <w:tcW w:w="1800" w:type="dxa"/>
          </w:tcPr>
          <w:p w:rsidR="04165CAD" w:rsidRDefault="04165CAD" w14:paraId="3600F099" w14:textId="4999CF13">
            <w:pPr>
              <w:cnfStyle w:val="000000010000" w:firstRow="0" w:lastRow="0" w:firstColumn="0" w:lastColumn="0" w:oddVBand="0" w:evenVBand="0" w:oddHBand="0" w:evenHBand="1" w:firstRowFirstColumn="0" w:firstRowLastColumn="0" w:lastRowFirstColumn="0" w:lastRowLastColumn="0"/>
            </w:pPr>
            <w:r>
              <w:t>~4,200 tickets a month</w:t>
            </w:r>
          </w:p>
        </w:tc>
      </w:tr>
      <w:tr w:rsidR="04165CAD" w:rsidTr="04165CAD" w14:paraId="657EF6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3609948B" w14:textId="60AF2F88">
            <w:r>
              <w:t>INT-05</w:t>
            </w:r>
          </w:p>
        </w:tc>
        <w:tc>
          <w:tcPr>
            <w:tcW w:w="2400" w:type="dxa"/>
          </w:tcPr>
          <w:p w:rsidR="04165CAD" w:rsidRDefault="04165CAD" w14:paraId="76C8C228" w14:textId="598D164C">
            <w:pPr>
              <w:cnfStyle w:val="000000100000" w:firstRow="0" w:lastRow="0" w:firstColumn="0" w:lastColumn="0" w:oddVBand="0" w:evenVBand="0" w:oddHBand="1" w:evenHBand="0" w:firstRowFirstColumn="0" w:firstRowLastColumn="0" w:lastRowFirstColumn="0" w:lastRowLastColumn="0"/>
            </w:pPr>
            <w:r>
              <w:t>Mailchimp ↔ spreadsheets</w:t>
            </w:r>
          </w:p>
        </w:tc>
        <w:tc>
          <w:tcPr>
            <w:tcW w:w="1900" w:type="dxa"/>
          </w:tcPr>
          <w:p w:rsidR="04165CAD" w:rsidRDefault="04165CAD" w14:paraId="437378CB" w14:textId="526AFD10">
            <w:pPr>
              <w:cnfStyle w:val="000000100000" w:firstRow="0" w:lastRow="0" w:firstColumn="0" w:lastColumn="0" w:oddVBand="0" w:evenVBand="0" w:oddHBand="1" w:evenHBand="0" w:firstRowFirstColumn="0" w:firstRowLastColumn="0" w:lastRowFirstColumn="0" w:lastRowLastColumn="0"/>
            </w:pPr>
            <w:r>
              <w:t>Contacts, consent, unsubscribes</w:t>
            </w:r>
          </w:p>
        </w:tc>
        <w:tc>
          <w:tcPr>
            <w:tcW w:w="2600" w:type="dxa"/>
          </w:tcPr>
          <w:p w:rsidR="04165CAD" w:rsidRDefault="04165CAD" w14:paraId="6FE1CD82" w14:textId="4B48E3D4">
            <w:pPr>
              <w:cnfStyle w:val="000000100000" w:firstRow="0" w:lastRow="0" w:firstColumn="0" w:lastColumn="0" w:oddVBand="0" w:evenVBand="0" w:oddHBand="1" w:evenHBand="0" w:firstRowFirstColumn="0" w:firstRowLastColumn="0" w:lastRowFirstColumn="0" w:lastRowLastColumn="0"/>
            </w:pPr>
            <w:r>
              <w:t>Manual CSV import and export, weekly</w:t>
            </w:r>
          </w:p>
        </w:tc>
        <w:tc>
          <w:tcPr>
            <w:tcW w:w="1800" w:type="dxa"/>
          </w:tcPr>
          <w:p w:rsidR="04165CAD" w:rsidRDefault="04165CAD" w14:paraId="4C5C45C2" w14:textId="4426CA98">
            <w:pPr>
              <w:cnfStyle w:val="000000100000" w:firstRow="0" w:lastRow="0" w:firstColumn="0" w:lastColumn="0" w:oddVBand="0" w:evenVBand="0" w:oddHBand="1" w:evenHBand="0" w:firstRowFirstColumn="0" w:firstRowLastColumn="0" w:lastRowFirstColumn="0" w:lastRowLastColumn="0"/>
            </w:pPr>
            <w:r>
              <w:t>38,000 contacts</w:t>
            </w:r>
          </w:p>
        </w:tc>
      </w:tr>
      <w:tr w:rsidR="04165CAD" w:rsidTr="04165CAD" w14:paraId="778693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3113F2B6" w14:textId="5B3C2B0D">
            <w:r>
              <w:t>INT-06</w:t>
            </w:r>
          </w:p>
        </w:tc>
        <w:tc>
          <w:tcPr>
            <w:tcW w:w="2400" w:type="dxa"/>
          </w:tcPr>
          <w:p w:rsidR="04165CAD" w:rsidRDefault="04165CAD" w14:paraId="6B427CB5" w14:textId="541A11D1">
            <w:pPr>
              <w:cnfStyle w:val="000000010000" w:firstRow="0" w:lastRow="0" w:firstColumn="0" w:lastColumn="0" w:oddVBand="0" w:evenVBand="0" w:oddHBand="0" w:evenHBand="1" w:firstRowFirstColumn="0" w:firstRowLastColumn="0" w:lastRowFirstColumn="0" w:lastRowLastColumn="0"/>
            </w:pPr>
            <w:r>
              <w:t>SAP Business One → SQL warehouse</w:t>
            </w:r>
          </w:p>
        </w:tc>
        <w:tc>
          <w:tcPr>
            <w:tcW w:w="1900" w:type="dxa"/>
          </w:tcPr>
          <w:p w:rsidR="04165CAD" w:rsidRDefault="04165CAD" w14:paraId="59E3A5BE" w14:textId="4CF7F895">
            <w:pPr>
              <w:cnfStyle w:val="000000010000" w:firstRow="0" w:lastRow="0" w:firstColumn="0" w:lastColumn="0" w:oddVBand="0" w:evenVBand="0" w:oddHBand="0" w:evenHBand="1" w:firstRowFirstColumn="0" w:firstRowLastColumn="0" w:lastRowFirstColumn="0" w:lastRowLastColumn="0"/>
            </w:pPr>
            <w:r>
              <w:t>GL, invoices, stock</w:t>
            </w:r>
          </w:p>
        </w:tc>
        <w:tc>
          <w:tcPr>
            <w:tcW w:w="2600" w:type="dxa"/>
          </w:tcPr>
          <w:p w:rsidR="04165CAD" w:rsidRDefault="04165CAD" w14:paraId="136C9568" w14:textId="45D5DF59">
            <w:pPr>
              <w:cnfStyle w:val="000000010000" w:firstRow="0" w:lastRow="0" w:firstColumn="0" w:lastColumn="0" w:oddVBand="0" w:evenVBand="0" w:oddHBand="0" w:evenHBand="1" w:firstRowFirstColumn="0" w:firstRowLastColumn="0" w:lastRowFirstColumn="0" w:lastRowLastColumn="0"/>
            </w:pPr>
            <w:r>
              <w:t>Nightly SQL job</w:t>
            </w:r>
          </w:p>
        </w:tc>
        <w:tc>
          <w:tcPr>
            <w:tcW w:w="1800" w:type="dxa"/>
          </w:tcPr>
          <w:p w:rsidR="04165CAD" w:rsidRDefault="04165CAD" w14:paraId="3A46049F" w14:textId="3EB3C61D">
            <w:pPr>
              <w:cnfStyle w:val="000000010000" w:firstRow="0" w:lastRow="0" w:firstColumn="0" w:lastColumn="0" w:oddVBand="0" w:evenVBand="0" w:oddHBand="0" w:evenHBand="1" w:firstRowFirstColumn="0" w:firstRowLastColumn="0" w:lastRowFirstColumn="0" w:lastRowLastColumn="0"/>
            </w:pPr>
            <w:r>
              <w:t>~9,000 invoices a month (UAE)</w:t>
            </w:r>
          </w:p>
        </w:tc>
      </w:tr>
      <w:tr w:rsidR="04165CAD" w:rsidTr="04165CAD" w14:paraId="4F5920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264C972C" w14:textId="55C92692">
            <w:r>
              <w:t>INT-07</w:t>
            </w:r>
          </w:p>
        </w:tc>
        <w:tc>
          <w:tcPr>
            <w:tcW w:w="2400" w:type="dxa"/>
          </w:tcPr>
          <w:p w:rsidR="04165CAD" w:rsidRDefault="04165CAD" w14:paraId="780B5976" w14:textId="4EA70D56">
            <w:pPr>
              <w:cnfStyle w:val="000000100000" w:firstRow="0" w:lastRow="0" w:firstColumn="0" w:lastColumn="0" w:oddVBand="0" w:evenVBand="0" w:oddHBand="1" w:evenHBand="0" w:firstRowFirstColumn="0" w:firstRowLastColumn="0" w:lastRowFirstColumn="0" w:lastRowLastColumn="0"/>
            </w:pPr>
            <w:r>
              <w:t>Sage 300 → SQL warehouse</w:t>
            </w:r>
          </w:p>
        </w:tc>
        <w:tc>
          <w:tcPr>
            <w:tcW w:w="1900" w:type="dxa"/>
          </w:tcPr>
          <w:p w:rsidR="04165CAD" w:rsidRDefault="04165CAD" w14:paraId="104158D7" w14:textId="4784F41A">
            <w:pPr>
              <w:cnfStyle w:val="000000100000" w:firstRow="0" w:lastRow="0" w:firstColumn="0" w:lastColumn="0" w:oddVBand="0" w:evenVBand="0" w:oddHBand="1" w:evenHBand="0" w:firstRowFirstColumn="0" w:firstRowLastColumn="0" w:lastRowFirstColumn="0" w:lastRowLastColumn="0"/>
            </w:pPr>
            <w:r>
              <w:t>GL, invoices, stock</w:t>
            </w:r>
          </w:p>
        </w:tc>
        <w:tc>
          <w:tcPr>
            <w:tcW w:w="2600" w:type="dxa"/>
          </w:tcPr>
          <w:p w:rsidR="04165CAD" w:rsidRDefault="04165CAD" w14:paraId="1A64C5FE" w14:textId="4062DADE">
            <w:pPr>
              <w:cnfStyle w:val="000000100000" w:firstRow="0" w:lastRow="0" w:firstColumn="0" w:lastColumn="0" w:oddVBand="0" w:evenVBand="0" w:oddHBand="1" w:evenHBand="0" w:firstRowFirstColumn="0" w:firstRowLastColumn="0" w:lastRowFirstColumn="0" w:lastRowLastColumn="0"/>
            </w:pPr>
            <w:r>
              <w:t>Nightly CSV via SFTP from Riyadh</w:t>
            </w:r>
          </w:p>
        </w:tc>
        <w:tc>
          <w:tcPr>
            <w:tcW w:w="1800" w:type="dxa"/>
          </w:tcPr>
          <w:p w:rsidR="04165CAD" w:rsidRDefault="04165CAD" w14:paraId="2C47E4D3" w14:textId="3940C1A2">
            <w:pPr>
              <w:cnfStyle w:val="000000100000" w:firstRow="0" w:lastRow="0" w:firstColumn="0" w:lastColumn="0" w:oddVBand="0" w:evenVBand="0" w:oddHBand="1" w:evenHBand="0" w:firstRowFirstColumn="0" w:firstRowLastColumn="0" w:lastRowFirstColumn="0" w:lastRowLastColumn="0"/>
            </w:pPr>
            <w:r>
              <w:t>~3,800 invoices a month (KSA and Oman)</w:t>
            </w:r>
          </w:p>
        </w:tc>
      </w:tr>
      <w:tr w:rsidR="04165CAD" w:rsidTr="04165CAD" w14:paraId="73D3A59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728D238B" w14:textId="50562217">
            <w:r>
              <w:t>INT-08</w:t>
            </w:r>
          </w:p>
        </w:tc>
        <w:tc>
          <w:tcPr>
            <w:tcW w:w="2400" w:type="dxa"/>
          </w:tcPr>
          <w:p w:rsidR="04165CAD" w:rsidRDefault="04165CAD" w14:paraId="4B4A52CD" w14:textId="493408DB">
            <w:pPr>
              <w:cnfStyle w:val="000000010000" w:firstRow="0" w:lastRow="0" w:firstColumn="0" w:lastColumn="0" w:oddVBand="0" w:evenVBand="0" w:oddHBand="0" w:evenHBand="1" w:firstRowFirstColumn="0" w:firstRowLastColumn="0" w:lastRowFirstColumn="0" w:lastRowLastColumn="0"/>
            </w:pPr>
            <w:r>
              <w:t>Rental app → SAP Business One</w:t>
            </w:r>
          </w:p>
        </w:tc>
        <w:tc>
          <w:tcPr>
            <w:tcW w:w="1900" w:type="dxa"/>
          </w:tcPr>
          <w:p w:rsidR="04165CAD" w:rsidRDefault="04165CAD" w14:paraId="26C37E2A" w14:textId="4211EF9F">
            <w:pPr>
              <w:cnfStyle w:val="000000010000" w:firstRow="0" w:lastRow="0" w:firstColumn="0" w:lastColumn="0" w:oddVBand="0" w:evenVBand="0" w:oddHBand="0" w:evenHBand="1" w:firstRowFirstColumn="0" w:firstRowLastColumn="0" w:lastRowFirstColumn="0" w:lastRowLastColumn="0"/>
            </w:pPr>
            <w:r>
              <w:t>Rental invoices and deposits</w:t>
            </w:r>
          </w:p>
        </w:tc>
        <w:tc>
          <w:tcPr>
            <w:tcW w:w="2600" w:type="dxa"/>
          </w:tcPr>
          <w:p w:rsidR="04165CAD" w:rsidRDefault="04165CAD" w14:paraId="53222FD6" w14:textId="3AEFD663">
            <w:pPr>
              <w:cnfStyle w:val="000000010000" w:firstRow="0" w:lastRow="0" w:firstColumn="0" w:lastColumn="0" w:oddVBand="0" w:evenVBand="0" w:oddHBand="0" w:evenHBand="1" w:firstRowFirstColumn="0" w:firstRowLastColumn="0" w:lastRowFirstColumn="0" w:lastRowLastColumn="0"/>
            </w:pPr>
            <w:r>
              <w:t>Daily file import at 22:00</w:t>
            </w:r>
          </w:p>
        </w:tc>
        <w:tc>
          <w:tcPr>
            <w:tcW w:w="1800" w:type="dxa"/>
          </w:tcPr>
          <w:p w:rsidR="04165CAD" w:rsidRDefault="04165CAD" w14:paraId="1C58BACD" w14:textId="33CDBD27">
            <w:pPr>
              <w:cnfStyle w:val="000000010000" w:firstRow="0" w:lastRow="0" w:firstColumn="0" w:lastColumn="0" w:oddVBand="0" w:evenVBand="0" w:oddHBand="0" w:evenHBand="1" w:firstRowFirstColumn="0" w:firstRowLastColumn="0" w:lastRowFirstColumn="0" w:lastRowLastColumn="0"/>
            </w:pPr>
            <w:r>
              <w:t>~1,100 rental invoices a month</w:t>
            </w:r>
          </w:p>
        </w:tc>
      </w:tr>
      <w:tr w:rsidR="04165CAD" w:rsidTr="04165CAD" w14:paraId="10AD2E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7CA301F1" w14:textId="4AE31D9C">
            <w:r>
              <w:lastRenderedPageBreak/>
              <w:t>INT-09</w:t>
            </w:r>
          </w:p>
        </w:tc>
        <w:tc>
          <w:tcPr>
            <w:tcW w:w="2400" w:type="dxa"/>
          </w:tcPr>
          <w:p w:rsidR="04165CAD" w:rsidRDefault="04165CAD" w14:paraId="3D759F82" w14:textId="43C10460">
            <w:pPr>
              <w:cnfStyle w:val="000000100000" w:firstRow="0" w:lastRow="0" w:firstColumn="0" w:lastColumn="0" w:oddVBand="0" w:evenVBand="0" w:oddHBand="1" w:evenHBand="0" w:firstRowFirstColumn="0" w:firstRowLastColumn="0" w:lastRowFirstColumn="0" w:lastRowLastColumn="0"/>
            </w:pPr>
            <w:r>
              <w:t>SAP Business One ↔ logistics partner API</w:t>
            </w:r>
          </w:p>
        </w:tc>
        <w:tc>
          <w:tcPr>
            <w:tcW w:w="1900" w:type="dxa"/>
          </w:tcPr>
          <w:p w:rsidR="04165CAD" w:rsidRDefault="04165CAD" w14:paraId="5E648B85" w14:textId="3C9EEB24">
            <w:pPr>
              <w:cnfStyle w:val="000000100000" w:firstRow="0" w:lastRow="0" w:firstColumn="0" w:lastColumn="0" w:oddVBand="0" w:evenVBand="0" w:oddHBand="1" w:evenHBand="0" w:firstRowFirstColumn="0" w:firstRowLastColumn="0" w:lastRowFirstColumn="0" w:lastRowLastColumn="0"/>
            </w:pPr>
            <w:r>
              <w:t>Delivery bookings, status</w:t>
            </w:r>
          </w:p>
        </w:tc>
        <w:tc>
          <w:tcPr>
            <w:tcW w:w="2600" w:type="dxa"/>
          </w:tcPr>
          <w:p w:rsidR="04165CAD" w:rsidRDefault="04165CAD" w14:paraId="6F0A6D66" w14:textId="357CD1E8">
            <w:pPr>
              <w:cnfStyle w:val="000000100000" w:firstRow="0" w:lastRow="0" w:firstColumn="0" w:lastColumn="0" w:oddVBand="0" w:evenVBand="0" w:oddHBand="1" w:evenHBand="0" w:firstRowFirstColumn="0" w:firstRowLastColumn="0" w:lastRowFirstColumn="0" w:lastRowLastColumn="0"/>
            </w:pPr>
            <w:r>
              <w:t>REST API, every 15 minutes</w:t>
            </w:r>
          </w:p>
        </w:tc>
        <w:tc>
          <w:tcPr>
            <w:tcW w:w="1800" w:type="dxa"/>
          </w:tcPr>
          <w:p w:rsidR="04165CAD" w:rsidRDefault="04165CAD" w14:paraId="2049DD34" w14:textId="2E5AB8AC">
            <w:pPr>
              <w:cnfStyle w:val="000000100000" w:firstRow="0" w:lastRow="0" w:firstColumn="0" w:lastColumn="0" w:oddVBand="0" w:evenVBand="0" w:oddHBand="1" w:evenHBand="0" w:firstRowFirstColumn="0" w:firstRowLastColumn="0" w:lastRowFirstColumn="0" w:lastRowLastColumn="0"/>
            </w:pPr>
            <w:r>
              <w:t>~6,500 deliveries a month</w:t>
            </w:r>
          </w:p>
        </w:tc>
      </w:tr>
      <w:tr w:rsidR="04165CAD" w:rsidTr="04165CAD" w14:paraId="69B3B9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6E2EE117" w14:textId="45701921">
            <w:r>
              <w:t>INT-10</w:t>
            </w:r>
          </w:p>
        </w:tc>
        <w:tc>
          <w:tcPr>
            <w:tcW w:w="2400" w:type="dxa"/>
          </w:tcPr>
          <w:p w:rsidR="04165CAD" w:rsidRDefault="04165CAD" w14:paraId="2B7C12A9" w14:textId="3E4DFFE5">
            <w:pPr>
              <w:cnfStyle w:val="000000010000" w:firstRow="0" w:lastRow="0" w:firstColumn="0" w:lastColumn="0" w:oddVBand="0" w:evenVBand="0" w:oddHBand="0" w:evenHBand="1" w:firstRowFirstColumn="0" w:firstRowLastColumn="0" w:lastRowFirstColumn="0" w:lastRowLastColumn="0"/>
            </w:pPr>
            <w:r>
              <w:t>SAP Business One ↔ banks (host-to-host)</w:t>
            </w:r>
          </w:p>
        </w:tc>
        <w:tc>
          <w:tcPr>
            <w:tcW w:w="1900" w:type="dxa"/>
          </w:tcPr>
          <w:p w:rsidR="04165CAD" w:rsidRDefault="04165CAD" w14:paraId="78007942" w14:textId="372BE6A9">
            <w:pPr>
              <w:cnfStyle w:val="000000010000" w:firstRow="0" w:lastRow="0" w:firstColumn="0" w:lastColumn="0" w:oddVBand="0" w:evenVBand="0" w:oddHBand="0" w:evenHBand="1" w:firstRowFirstColumn="0" w:firstRowLastColumn="0" w:lastRowFirstColumn="0" w:lastRowLastColumn="0"/>
            </w:pPr>
            <w:r>
              <w:t>Payment files, MT940 statements</w:t>
            </w:r>
          </w:p>
        </w:tc>
        <w:tc>
          <w:tcPr>
            <w:tcW w:w="2600" w:type="dxa"/>
          </w:tcPr>
          <w:p w:rsidR="04165CAD" w:rsidRDefault="04165CAD" w14:paraId="6EC8A3F1" w14:textId="3009CD6D">
            <w:pPr>
              <w:cnfStyle w:val="000000010000" w:firstRow="0" w:lastRow="0" w:firstColumn="0" w:lastColumn="0" w:oddVBand="0" w:evenVBand="0" w:oddHBand="0" w:evenHBand="1" w:firstRowFirstColumn="0" w:firstRowLastColumn="0" w:lastRowFirstColumn="0" w:lastRowLastColumn="0"/>
            </w:pPr>
            <w:r>
              <w:t>SFTP, twice daily</w:t>
            </w:r>
          </w:p>
        </w:tc>
        <w:tc>
          <w:tcPr>
            <w:tcW w:w="1800" w:type="dxa"/>
          </w:tcPr>
          <w:p w:rsidR="04165CAD" w:rsidRDefault="04165CAD" w14:paraId="5CF5D2CD" w14:textId="28E7B431">
            <w:pPr>
              <w:cnfStyle w:val="000000010000" w:firstRow="0" w:lastRow="0" w:firstColumn="0" w:lastColumn="0" w:oddVBand="0" w:evenVBand="0" w:oddHBand="0" w:evenHBand="1" w:firstRowFirstColumn="0" w:firstRowLastColumn="0" w:lastRowFirstColumn="0" w:lastRowLastColumn="0"/>
            </w:pPr>
            <w:r>
              <w:t>~1,400 payments a month</w:t>
            </w:r>
          </w:p>
        </w:tc>
      </w:tr>
      <w:tr w:rsidR="04165CAD" w:rsidTr="04165CAD" w14:paraId="1DE75C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7D236EB4" w14:textId="3FFD14A6">
            <w:r>
              <w:t>INT-11</w:t>
            </w:r>
          </w:p>
        </w:tc>
        <w:tc>
          <w:tcPr>
            <w:tcW w:w="2400" w:type="dxa"/>
          </w:tcPr>
          <w:p w:rsidR="04165CAD" w:rsidRDefault="04165CAD" w14:paraId="332B1D0E" w14:textId="38DAFB6A">
            <w:pPr>
              <w:cnfStyle w:val="000000100000" w:firstRow="0" w:lastRow="0" w:firstColumn="0" w:lastColumn="0" w:oddVBand="0" w:evenVBand="0" w:oddHBand="1" w:evenHBand="0" w:firstRowFirstColumn="0" w:firstRowLastColumn="0" w:lastRowFirstColumn="0" w:lastRowLastColumn="0"/>
            </w:pPr>
            <w:r>
              <w:t>Sage 300 (KSA) → ZATCA</w:t>
            </w:r>
          </w:p>
        </w:tc>
        <w:tc>
          <w:tcPr>
            <w:tcW w:w="1900" w:type="dxa"/>
          </w:tcPr>
          <w:p w:rsidR="04165CAD" w:rsidRDefault="04165CAD" w14:paraId="7F6B4100" w14:textId="31B8E22E">
            <w:pPr>
              <w:cnfStyle w:val="000000100000" w:firstRow="0" w:lastRow="0" w:firstColumn="0" w:lastColumn="0" w:oddVBand="0" w:evenVBand="0" w:oddHBand="1" w:evenHBand="0" w:firstRowFirstColumn="0" w:firstRowLastColumn="0" w:lastRowFirstColumn="0" w:lastRowLastColumn="0"/>
            </w:pPr>
            <w:r>
              <w:t>E-invoices</w:t>
            </w:r>
          </w:p>
        </w:tc>
        <w:tc>
          <w:tcPr>
            <w:tcW w:w="2600" w:type="dxa"/>
          </w:tcPr>
          <w:p w:rsidR="04165CAD" w:rsidRDefault="04165CAD" w14:paraId="1C7DF048" w14:textId="2A96C8F2">
            <w:pPr>
              <w:cnfStyle w:val="000000100000" w:firstRow="0" w:lastRow="0" w:firstColumn="0" w:lastColumn="0" w:oddVBand="0" w:evenVBand="0" w:oddHBand="1" w:evenHBand="0" w:firstRowFirstColumn="0" w:firstRowLastColumn="0" w:lastRowFirstColumn="0" w:lastRowLastColumn="0"/>
            </w:pPr>
            <w:r>
              <w:t>Manual upload through a middleware portal</w:t>
            </w:r>
          </w:p>
        </w:tc>
        <w:tc>
          <w:tcPr>
            <w:tcW w:w="1800" w:type="dxa"/>
          </w:tcPr>
          <w:p w:rsidR="04165CAD" w:rsidRDefault="04165CAD" w14:paraId="345E5EC5" w14:textId="2374AFB6">
            <w:pPr>
              <w:cnfStyle w:val="000000100000" w:firstRow="0" w:lastRow="0" w:firstColumn="0" w:lastColumn="0" w:oddVBand="0" w:evenVBand="0" w:oddHBand="1" w:evenHBand="0" w:firstRowFirstColumn="0" w:firstRowLastColumn="0" w:lastRowFirstColumn="0" w:lastRowLastColumn="0"/>
            </w:pPr>
            <w:r>
              <w:t>~2,600 invoices a month</w:t>
            </w:r>
          </w:p>
        </w:tc>
      </w:tr>
      <w:tr w:rsidR="04165CAD" w:rsidTr="04165CAD" w14:paraId="57EDDAB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04165CAD" w:rsidRDefault="04165CAD" w14:paraId="32C386F2" w14:textId="3A8A102B">
            <w:r>
              <w:t>INT-12</w:t>
            </w:r>
          </w:p>
        </w:tc>
        <w:tc>
          <w:tcPr>
            <w:tcW w:w="2400" w:type="dxa"/>
          </w:tcPr>
          <w:p w:rsidR="04165CAD" w:rsidRDefault="04165CAD" w14:paraId="447E9865" w14:textId="3367F6EF">
            <w:pPr>
              <w:cnfStyle w:val="000000010000" w:firstRow="0" w:lastRow="0" w:firstColumn="0" w:lastColumn="0" w:oddVBand="0" w:evenVBand="0" w:oddHBand="0" w:evenHBand="1" w:firstRowFirstColumn="0" w:firstRowLastColumn="0" w:lastRowFirstColumn="0" w:lastRowLastColumn="0"/>
            </w:pPr>
            <w:r>
              <w:t>Azure AD → SaaS apps</w:t>
            </w:r>
          </w:p>
        </w:tc>
        <w:tc>
          <w:tcPr>
            <w:tcW w:w="1900" w:type="dxa"/>
          </w:tcPr>
          <w:p w:rsidR="04165CAD" w:rsidRDefault="04165CAD" w14:paraId="67348E48" w14:textId="2C45DDB3">
            <w:pPr>
              <w:cnfStyle w:val="000000010000" w:firstRow="0" w:lastRow="0" w:firstColumn="0" w:lastColumn="0" w:oddVBand="0" w:evenVBand="0" w:oddHBand="0" w:evenHBand="1" w:firstRowFirstColumn="0" w:firstRowLastColumn="0" w:lastRowFirstColumn="0" w:lastRowLastColumn="0"/>
            </w:pPr>
            <w:r>
              <w:t>Identity</w:t>
            </w:r>
          </w:p>
        </w:tc>
        <w:tc>
          <w:tcPr>
            <w:tcW w:w="2600" w:type="dxa"/>
          </w:tcPr>
          <w:p w:rsidR="04165CAD" w:rsidRDefault="04165CAD" w14:paraId="4288057F" w14:textId="2523C477">
            <w:pPr>
              <w:cnfStyle w:val="000000010000" w:firstRow="0" w:lastRow="0" w:firstColumn="0" w:lastColumn="0" w:oddVBand="0" w:evenVBand="0" w:oddHBand="0" w:evenHBand="1" w:firstRowFirstColumn="0" w:firstRowLastColumn="0" w:lastRowFirstColumn="0" w:lastRowLastColumn="0"/>
            </w:pPr>
            <w:r>
              <w:t>SAML/OIDC single sign-on</w:t>
            </w:r>
          </w:p>
        </w:tc>
        <w:tc>
          <w:tcPr>
            <w:tcW w:w="1800" w:type="dxa"/>
          </w:tcPr>
          <w:p w:rsidR="04165CAD" w:rsidRDefault="04165CAD" w14:paraId="358114A8" w14:textId="1E01AB3B">
            <w:pPr>
              <w:cnfStyle w:val="000000010000" w:firstRow="0" w:lastRow="0" w:firstColumn="0" w:lastColumn="0" w:oddVBand="0" w:evenVBand="0" w:oddHBand="0" w:evenHBand="1" w:firstRowFirstColumn="0" w:firstRowLastColumn="0" w:lastRowFirstColumn="0" w:lastRowLastColumn="0"/>
            </w:pPr>
            <w:r>
              <w:t>9 applications</w:t>
            </w:r>
          </w:p>
        </w:tc>
      </w:tr>
    </w:tbl>
    <w:p w:rsidR="04165CAD" w:rsidP="04165CAD" w:rsidRDefault="04165CAD" w14:paraId="6ACC8466" w14:textId="6D54EE6E">
      <w:pPr>
        <w:pStyle w:val="Heading1"/>
      </w:pPr>
      <w:r>
        <w:t>4. Key volumes</w:t>
      </w:r>
    </w:p>
    <w:tbl>
      <w:tblPr>
        <w:tblStyle w:val="MediumShading1-Accent1"/>
        <w:tblW w:w="0" w:type="auto"/>
        <w:tblLook w:val="04A0" w:firstRow="1" w:lastRow="0" w:firstColumn="1" w:lastColumn="0" w:noHBand="0" w:noVBand="1"/>
      </w:tblPr>
      <w:tblGrid>
        <w:gridCol w:w="4300"/>
        <w:gridCol w:w="3400"/>
        <w:gridCol w:w="2000"/>
      </w:tblGrid>
      <w:tr w:rsidR="04165CAD" w:rsidTr="04165CAD" w14:paraId="567E7B6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68A9E11D" w14:textId="4C2C6C25">
            <w:r>
              <w:t>Measure</w:t>
            </w:r>
          </w:p>
        </w:tc>
        <w:tc>
          <w:tcPr>
            <w:tcW w:w="3400" w:type="dxa"/>
          </w:tcPr>
          <w:p w:rsidR="04165CAD" w:rsidRDefault="04165CAD" w14:paraId="1BA3F998" w14:textId="450A52E9">
            <w:pPr>
              <w:cnfStyle w:val="100000000000" w:firstRow="1" w:lastRow="0" w:firstColumn="0" w:lastColumn="0" w:oddVBand="0" w:evenVBand="0" w:oddHBand="0" w:evenHBand="0" w:firstRowFirstColumn="0" w:firstRowLastColumn="0" w:lastRowFirstColumn="0" w:lastRowLastColumn="0"/>
            </w:pPr>
            <w:r>
              <w:t>Current volume</w:t>
            </w:r>
          </w:p>
        </w:tc>
        <w:tc>
          <w:tcPr>
            <w:tcW w:w="2000" w:type="dxa"/>
          </w:tcPr>
          <w:p w:rsidR="04165CAD" w:rsidRDefault="04165CAD" w14:paraId="49300B8C" w14:textId="3DE839AD">
            <w:pPr>
              <w:cnfStyle w:val="100000000000" w:firstRow="1" w:lastRow="0" w:firstColumn="0" w:lastColumn="0" w:oddVBand="0" w:evenVBand="0" w:oddHBand="0" w:evenHBand="0" w:firstRowFirstColumn="0" w:firstRowLastColumn="0" w:lastRowFirstColumn="0" w:lastRowLastColumn="0"/>
            </w:pPr>
            <w:r>
              <w:t>Expected growth</w:t>
            </w:r>
          </w:p>
        </w:tc>
      </w:tr>
      <w:tr w:rsidR="04165CAD" w:rsidTr="04165CAD" w14:paraId="52C014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3E3B66A9" w14:textId="54FD9A22">
            <w:r>
              <w:t>Customer accounts (active, all systems, before de-duplication)</w:t>
            </w:r>
          </w:p>
        </w:tc>
        <w:tc>
          <w:tcPr>
            <w:tcW w:w="3400" w:type="dxa"/>
          </w:tcPr>
          <w:p w:rsidR="04165CAD" w:rsidRDefault="04165CAD" w14:paraId="193CC988" w14:textId="4DDB80E6">
            <w:pPr>
              <w:cnfStyle w:val="000000100000" w:firstRow="0" w:lastRow="0" w:firstColumn="0" w:lastColumn="0" w:oddVBand="0" w:evenVBand="0" w:oddHBand="1" w:evenHBand="0" w:firstRowFirstColumn="0" w:firstRowLastColumn="0" w:lastRowFirstColumn="0" w:lastRowLastColumn="0"/>
            </w:pPr>
            <w:r>
              <w:t>Approx. 18,500</w:t>
            </w:r>
          </w:p>
        </w:tc>
        <w:tc>
          <w:tcPr>
            <w:tcW w:w="2000" w:type="dxa"/>
          </w:tcPr>
          <w:p w:rsidR="04165CAD" w:rsidRDefault="04165CAD" w14:paraId="7FE2148A" w14:textId="46B967AA">
            <w:pPr>
              <w:cnfStyle w:val="000000100000" w:firstRow="0" w:lastRow="0" w:firstColumn="0" w:lastColumn="0" w:oddVBand="0" w:evenVBand="0" w:oddHBand="1" w:evenHBand="0" w:firstRowFirstColumn="0" w:firstRowLastColumn="0" w:lastRowFirstColumn="0" w:lastRowLastColumn="0"/>
            </w:pPr>
            <w:r>
              <w:t>5% a year</w:t>
            </w:r>
          </w:p>
        </w:tc>
      </w:tr>
      <w:tr w:rsidR="04165CAD" w:rsidTr="04165CAD" w14:paraId="125C89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618C5045" w14:textId="5DCEC81F">
            <w:r>
              <w:t>Contacts in Salesforce</w:t>
            </w:r>
          </w:p>
        </w:tc>
        <w:tc>
          <w:tcPr>
            <w:tcW w:w="3400" w:type="dxa"/>
          </w:tcPr>
          <w:p w:rsidR="04165CAD" w:rsidRDefault="04165CAD" w14:paraId="7068F5B4" w14:textId="56ACAEE3">
            <w:pPr>
              <w:cnfStyle w:val="000000010000" w:firstRow="0" w:lastRow="0" w:firstColumn="0" w:lastColumn="0" w:oddVBand="0" w:evenVBand="0" w:oddHBand="0" w:evenHBand="1" w:firstRowFirstColumn="0" w:firstRowLastColumn="0" w:lastRowFirstColumn="0" w:lastRowLastColumn="0"/>
            </w:pPr>
            <w:r>
              <w:t>41,000</w:t>
            </w:r>
          </w:p>
        </w:tc>
        <w:tc>
          <w:tcPr>
            <w:tcW w:w="2000" w:type="dxa"/>
          </w:tcPr>
          <w:p w:rsidR="04165CAD" w:rsidRDefault="04165CAD" w14:paraId="75EC7020" w14:textId="4F8A95A7">
            <w:pPr>
              <w:cnfStyle w:val="000000010000" w:firstRow="0" w:lastRow="0" w:firstColumn="0" w:lastColumn="0" w:oddVBand="0" w:evenVBand="0" w:oddHBand="0" w:evenHBand="1" w:firstRowFirstColumn="0" w:firstRowLastColumn="0" w:lastRowFirstColumn="0" w:lastRowLastColumn="0"/>
            </w:pPr>
            <w:r>
              <w:t>Not tracked</w:t>
            </w:r>
          </w:p>
        </w:tc>
      </w:tr>
      <w:tr w:rsidR="04165CAD" w:rsidTr="04165CAD" w14:paraId="3DD1BC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32FF1104" w14:textId="669FF61C">
            <w:r>
              <w:t>New leads per month</w:t>
            </w:r>
          </w:p>
        </w:tc>
        <w:tc>
          <w:tcPr>
            <w:tcW w:w="3400" w:type="dxa"/>
          </w:tcPr>
          <w:p w:rsidR="04165CAD" w:rsidRDefault="04165CAD" w14:paraId="673C0301" w14:textId="5F7DDCE0">
            <w:pPr>
              <w:cnfStyle w:val="000000100000" w:firstRow="0" w:lastRow="0" w:firstColumn="0" w:lastColumn="0" w:oddVBand="0" w:evenVBand="0" w:oddHBand="1" w:evenHBand="0" w:firstRowFirstColumn="0" w:firstRowLastColumn="0" w:lastRowFirstColumn="0" w:lastRowLastColumn="0"/>
            </w:pPr>
            <w:r>
              <w:t>~900</w:t>
            </w:r>
          </w:p>
        </w:tc>
        <w:tc>
          <w:tcPr>
            <w:tcW w:w="2000" w:type="dxa"/>
          </w:tcPr>
          <w:p w:rsidR="04165CAD" w:rsidRDefault="04165CAD" w14:paraId="1BF92F8D" w14:textId="585BC3A4">
            <w:pPr>
              <w:cnfStyle w:val="000000100000" w:firstRow="0" w:lastRow="0" w:firstColumn="0" w:lastColumn="0" w:oddVBand="0" w:evenVBand="0" w:oddHBand="1" w:evenHBand="0" w:firstRowFirstColumn="0" w:firstRowLastColumn="0" w:lastRowFirstColumn="0" w:lastRowLastColumn="0"/>
            </w:pPr>
            <w:r>
              <w:t>10% a year</w:t>
            </w:r>
          </w:p>
        </w:tc>
      </w:tr>
      <w:tr w:rsidR="04165CAD" w:rsidTr="04165CAD" w14:paraId="3DCBD07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303E0443" w14:textId="6F712419">
            <w:r>
              <w:t>Quotes issued per month (Excel)</w:t>
            </w:r>
          </w:p>
        </w:tc>
        <w:tc>
          <w:tcPr>
            <w:tcW w:w="3400" w:type="dxa"/>
          </w:tcPr>
          <w:p w:rsidR="04165CAD" w:rsidRDefault="04165CAD" w14:paraId="121D7BB1" w14:textId="684F0ADD">
            <w:pPr>
              <w:cnfStyle w:val="000000010000" w:firstRow="0" w:lastRow="0" w:firstColumn="0" w:lastColumn="0" w:oddVBand="0" w:evenVBand="0" w:oddHBand="0" w:evenHBand="1" w:firstRowFirstColumn="0" w:firstRowLastColumn="0" w:lastRowFirstColumn="0" w:lastRowLastColumn="0"/>
            </w:pPr>
            <w:r>
              <w:t>~1,100</w:t>
            </w:r>
          </w:p>
        </w:tc>
        <w:tc>
          <w:tcPr>
            <w:tcW w:w="2000" w:type="dxa"/>
          </w:tcPr>
          <w:p w:rsidR="04165CAD" w:rsidRDefault="04165CAD" w14:paraId="6B60768C" w14:textId="612CF1A1">
            <w:pPr>
              <w:cnfStyle w:val="000000010000" w:firstRow="0" w:lastRow="0" w:firstColumn="0" w:lastColumn="0" w:oddVBand="0" w:evenVBand="0" w:oddHBand="0" w:evenHBand="1" w:firstRowFirstColumn="0" w:firstRowLastColumn="0" w:lastRowFirstColumn="0" w:lastRowLastColumn="0"/>
            </w:pPr>
            <w:r>
              <w:t>In line with leads</w:t>
            </w:r>
          </w:p>
        </w:tc>
      </w:tr>
      <w:tr w:rsidR="04165CAD" w:rsidTr="04165CAD" w14:paraId="3146C0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77A654B2" w14:textId="78425216">
            <w:r>
              <w:t>Service tickets per month</w:t>
            </w:r>
          </w:p>
        </w:tc>
        <w:tc>
          <w:tcPr>
            <w:tcW w:w="3400" w:type="dxa"/>
          </w:tcPr>
          <w:p w:rsidR="04165CAD" w:rsidRDefault="04165CAD" w14:paraId="22577FA0" w14:textId="712038DA">
            <w:pPr>
              <w:cnfStyle w:val="000000100000" w:firstRow="0" w:lastRow="0" w:firstColumn="0" w:lastColumn="0" w:oddVBand="0" w:evenVBand="0" w:oddHBand="1" w:evenHBand="0" w:firstRowFirstColumn="0" w:firstRowLastColumn="0" w:lastRowFirstColumn="0" w:lastRowLastColumn="0"/>
            </w:pPr>
            <w:r>
              <w:t>~4,200 (email 55%, phone 30%, WhatsApp 10%, portal 5%)</w:t>
            </w:r>
          </w:p>
        </w:tc>
        <w:tc>
          <w:tcPr>
            <w:tcW w:w="2000" w:type="dxa"/>
          </w:tcPr>
          <w:p w:rsidR="04165CAD" w:rsidRDefault="04165CAD" w14:paraId="54503D5D" w14:textId="69FE1F9E">
            <w:pPr>
              <w:cnfStyle w:val="000000100000" w:firstRow="0" w:lastRow="0" w:firstColumn="0" w:lastColumn="0" w:oddVBand="0" w:evenVBand="0" w:oddHBand="1" w:evenHBand="0" w:firstRowFirstColumn="0" w:firstRowLastColumn="0" w:lastRowFirstColumn="0" w:lastRowLastColumn="0"/>
            </w:pPr>
            <w:r>
              <w:t>8% a year</w:t>
            </w:r>
          </w:p>
        </w:tc>
      </w:tr>
      <w:tr w:rsidR="04165CAD" w:rsidTr="04165CAD" w14:paraId="51A906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5F232262" w14:textId="01138013">
            <w:r>
              <w:t>Marketing contacts (Mailchimp)</w:t>
            </w:r>
          </w:p>
        </w:tc>
        <w:tc>
          <w:tcPr>
            <w:tcW w:w="3400" w:type="dxa"/>
          </w:tcPr>
          <w:p w:rsidR="04165CAD" w:rsidRDefault="04165CAD" w14:paraId="473818D0" w14:textId="79F166D7">
            <w:pPr>
              <w:cnfStyle w:val="000000010000" w:firstRow="0" w:lastRow="0" w:firstColumn="0" w:lastColumn="0" w:oddVBand="0" w:evenVBand="0" w:oddHBand="0" w:evenHBand="1" w:firstRowFirstColumn="0" w:firstRowLastColumn="0" w:lastRowFirstColumn="0" w:lastRowLastColumn="0"/>
            </w:pPr>
            <w:r>
              <w:t>38,000</w:t>
            </w:r>
          </w:p>
        </w:tc>
        <w:tc>
          <w:tcPr>
            <w:tcW w:w="2000" w:type="dxa"/>
          </w:tcPr>
          <w:p w:rsidR="04165CAD" w:rsidRDefault="04165CAD" w14:paraId="52F48707" w14:textId="72CF4D9B">
            <w:pPr>
              <w:cnfStyle w:val="000000010000" w:firstRow="0" w:lastRow="0" w:firstColumn="0" w:lastColumn="0" w:oddVBand="0" w:evenVBand="0" w:oddHBand="0" w:evenHBand="1" w:firstRowFirstColumn="0" w:firstRowLastColumn="0" w:lastRowFirstColumn="0" w:lastRowLastColumn="0"/>
            </w:pPr>
            <w:r>
              <w:t>15% a year</w:t>
            </w:r>
          </w:p>
        </w:tc>
      </w:tr>
      <w:tr w:rsidR="04165CAD" w:rsidTr="04165CAD" w14:paraId="5D5FB6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3E02EA2C" w14:textId="09E4AE10">
            <w:r>
              <w:t>Sales and rental invoices per month (all entities)</w:t>
            </w:r>
          </w:p>
        </w:tc>
        <w:tc>
          <w:tcPr>
            <w:tcW w:w="3400" w:type="dxa"/>
          </w:tcPr>
          <w:p w:rsidR="04165CAD" w:rsidRDefault="04165CAD" w14:paraId="206763D4" w14:textId="02C294D4">
            <w:pPr>
              <w:cnfStyle w:val="000000100000" w:firstRow="0" w:lastRow="0" w:firstColumn="0" w:lastColumn="0" w:oddVBand="0" w:evenVBand="0" w:oddHBand="1" w:evenHBand="0" w:firstRowFirstColumn="0" w:firstRowLastColumn="0" w:lastRowFirstColumn="0" w:lastRowLastColumn="0"/>
            </w:pPr>
            <w:r>
              <w:t>~13,900</w:t>
            </w:r>
          </w:p>
        </w:tc>
        <w:tc>
          <w:tcPr>
            <w:tcW w:w="2000" w:type="dxa"/>
          </w:tcPr>
          <w:p w:rsidR="04165CAD" w:rsidRDefault="04165CAD" w14:paraId="1F2F5544" w14:textId="7BA07B98">
            <w:pPr>
              <w:cnfStyle w:val="000000100000" w:firstRow="0" w:lastRow="0" w:firstColumn="0" w:lastColumn="0" w:oddVBand="0" w:evenVBand="0" w:oddHBand="1" w:evenHBand="0" w:firstRowFirstColumn="0" w:firstRowLastColumn="0" w:lastRowFirstColumn="0" w:lastRowLastColumn="0"/>
            </w:pPr>
            <w:r>
              <w:t>6% a year</w:t>
            </w:r>
          </w:p>
        </w:tc>
      </w:tr>
      <w:tr w:rsidR="04165CAD" w:rsidTr="04165CAD" w14:paraId="2B23EDF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rsidR="04165CAD" w:rsidRDefault="04165CAD" w14:paraId="1F15A3B4" w14:textId="12B5DC0D">
            <w:r>
              <w:t>Rental fleet assets</w:t>
            </w:r>
          </w:p>
        </w:tc>
        <w:tc>
          <w:tcPr>
            <w:tcW w:w="3400" w:type="dxa"/>
          </w:tcPr>
          <w:p w:rsidR="04165CAD" w:rsidRDefault="04165CAD" w14:paraId="293F9511" w14:textId="0B93C2D1">
            <w:pPr>
              <w:cnfStyle w:val="000000010000" w:firstRow="0" w:lastRow="0" w:firstColumn="0" w:lastColumn="0" w:oddVBand="0" w:evenVBand="0" w:oddHBand="0" w:evenHBand="1" w:firstRowFirstColumn="0" w:firstRowLastColumn="0" w:lastRowFirstColumn="0" w:lastRowLastColumn="0"/>
            </w:pPr>
            <w:r>
              <w:t>2,300</w:t>
            </w:r>
          </w:p>
        </w:tc>
        <w:tc>
          <w:tcPr>
            <w:tcW w:w="2000" w:type="dxa"/>
          </w:tcPr>
          <w:p w:rsidR="04165CAD" w:rsidRDefault="04165CAD" w14:paraId="4CDCD80F" w14:textId="0471A995">
            <w:pPr>
              <w:cnfStyle w:val="000000010000" w:firstRow="0" w:lastRow="0" w:firstColumn="0" w:lastColumn="0" w:oddVBand="0" w:evenVBand="0" w:oddHBand="0" w:evenHBand="1" w:firstRowFirstColumn="0" w:firstRowLastColumn="0" w:lastRowFirstColumn="0" w:lastRowLastColumn="0"/>
            </w:pPr>
            <w:r>
              <w:t>Fleet growth of 150 assets a year</w:t>
            </w:r>
          </w:p>
        </w:tc>
      </w:tr>
    </w:tbl>
    <w:p w:rsidR="04165CAD" w:rsidP="04165CAD" w:rsidRDefault="04165CAD" w14:paraId="55667BF3" w14:textId="6090146D">
      <w:pPr>
        <w:pStyle w:val="Heading1"/>
      </w:pPr>
      <w:r>
        <w:t>5. Constraints</w:t>
      </w:r>
    </w:p>
    <w:p w:rsidR="04165CAD" w:rsidP="04165CAD" w:rsidRDefault="04165CAD" w14:paraId="3D4B11F8" w14:textId="7DF2D5E3">
      <w:pPr>
        <w:pStyle w:val="Heading2"/>
      </w:pPr>
      <w:r>
        <w:t>5.1 Data residency</w:t>
      </w:r>
    </w:p>
    <w:p w:rsidR="04165CAD" w:rsidRDefault="04165CAD" w14:paraId="336ED5A4" w14:textId="6308DD7A" w14:noSpellErr="1">
      <w:r w:rsidR="59232A41">
        <w:rPr/>
        <w:t>Customer and employee personal data for the UAE entities must be stored and processed in the UAE, in line with UAE PDPL and Zava's own data classification policy. Bidders must state the Microsoft datacentre region they propose (UAE North or UAE Central) for every component, including backups and any AI or Copilot capability. KSA personal data is subject to KSA PDPL; Zava will accept hosting in the UAE region for KSA data provided cross-border transfer requirements are documented and agreed with Zava's data protection officer. Salesforce and Zendesk data currently sit in an EU region, which is one reason for replacing them.</w:t>
      </w:r>
    </w:p>
    <w:p w:rsidR="04165CAD" w:rsidP="04165CAD" w:rsidRDefault="04165CAD" w14:paraId="673CE310" w14:textId="2F3C96C6">
      <w:pPr>
        <w:pStyle w:val="Heading2"/>
      </w:pPr>
      <w:r>
        <w:t>5.2 Identity and single sign-on</w:t>
      </w:r>
    </w:p>
    <w:p w:rsidR="04165CAD" w:rsidRDefault="04165CAD" w14:paraId="52018C0D" w14:textId="5C034FB7">
      <w:r>
        <w:t>Every new application must use Azure AD (Microsoft Entra ID) for single sign-on with MFA enforced by conditional access. Local application accounts are not permitted, except break-glass accounts held by IT. Joiners and leavers are managed in Azure AD from the HR spreadsheet today, so licence assignment should be group-based. External users (contractors on the customer portal) are expected to use Azure AD B2C or Entra External ID.</w:t>
      </w:r>
    </w:p>
    <w:p w:rsidR="04165CAD" w:rsidP="04165CAD" w:rsidRDefault="04165CAD" w14:paraId="1720B419" w14:textId="16CFD292">
      <w:pPr>
        <w:pStyle w:val="Heading2"/>
      </w:pPr>
      <w:r>
        <w:t>5.3 Other constraints</w:t>
      </w:r>
    </w:p>
    <w:p w:rsidR="04165CAD" w:rsidP="04165CAD" w:rsidRDefault="04165CAD" w14:paraId="70846586" w14:textId="5ED7FBC9">
      <w:pPr>
        <w:pStyle w:val="ListBullet"/>
      </w:pPr>
      <w:r>
        <w:t>The rental-equipment app has one in-house developer and limited documentation; changes to it should be kept to a minimum during the programme.</w:t>
      </w:r>
    </w:p>
    <w:p w:rsidR="04165CAD" w:rsidP="04165CAD" w:rsidRDefault="04165CAD" w14:paraId="35EF4838" w14:textId="767FA838">
      <w:pPr>
        <w:pStyle w:val="ListBullet"/>
      </w:pPr>
      <w:r>
        <w:t>The SQL warehouse hardware reaches end of life in Q3 2027, so reporting must move to Power BI before then.</w:t>
      </w:r>
    </w:p>
    <w:p w:rsidR="04165CAD" w:rsidP="04165CAD" w:rsidRDefault="04165CAD" w14:paraId="57D23AFF" w14:textId="42A81503">
      <w:pPr>
        <w:pStyle w:val="ListBullet"/>
      </w:pPr>
      <w:r>
        <w:lastRenderedPageBreak/>
        <w:t>Bank host-to-host certificates and file formats must be re-certified with each bank, which takes six to eight weeks.</w:t>
      </w:r>
    </w:p>
    <w:p w:rsidR="04165CAD" w:rsidP="04165CAD" w:rsidRDefault="04165CAD" w14:paraId="6BFB7E17" w14:textId="17AB1B45">
      <w:pPr>
        <w:pStyle w:val="ListBullet"/>
      </w:pPr>
      <w:r>
        <w:t>Integration should use Microsoft-native services (Azure Integration Services, Power Platform connectors or Dataverse virtual tables) unless a bidder justifies an alternative.</w:t>
      </w:r>
    </w:p>
    <w:p w:rsidR="04165CAD" w:rsidP="04165CAD" w:rsidRDefault="04165CAD" w14:paraId="3B11EDE1" w14:textId="6669F8BF">
      <w:pPr>
        <w:pStyle w:val="ListBullet"/>
      </w:pPr>
      <w:r>
        <w:t>Cutover from Salesforce must complete before the contract ends on 30 June 2027; no extension will be signed.</w:t>
      </w:r>
    </w:p>
    <w:p w:rsidR="04165CAD" w:rsidP="04165CAD" w:rsidRDefault="04165CAD" w14:paraId="7811A6DC" w14:textId="4F79EEA9">
      <w:pPr>
        <w:pStyle w:val="Heading1"/>
      </w:pPr>
      <w:r>
        <w:t>6. Contacts</w:t>
      </w:r>
    </w:p>
    <w:p w:rsidR="04165CAD" w:rsidRDefault="04165CAD" w14:paraId="6C4ACFEB" w14:textId="29F76B63">
      <w:r>
        <w:t>Technical questions about this annex should be submitted through Fatima Al Zaabi, Procurement Manager, who will route them to Yusuf Ibrahim. Bidders must not contact system owners directly during the RFP period.</w:t>
      </w:r>
    </w:p>
    <w:p w:rsidR="04165CAD" w:rsidP="04165CAD" w:rsidRDefault="04165CAD" w14:paraId="5182D69B" w14:textId="308E1E90">
      <w:pPr>
        <w:jc w:val="center"/>
      </w:pPr>
      <w:r w:rsidRPr="04165CAD">
        <w:rPr>
          <w:i/>
          <w:iCs/>
          <w:color w:val="595959"/>
          <w:sz w:val="18"/>
          <w:szCs w:val="18"/>
        </w:rPr>
        <w:t>Fictitious test data – Copilot for Frontier Consultancy scenario testing</w:t>
      </w:r>
    </w:p>
    <w:sectPr w:rsidR="04165CAD" w:rsidSect="00034616">
      <w:headerReference w:type="default" r:id="rId8"/>
      <w:pgSz w:w="11906" w:h="16838"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3099" w:rsidRDefault="00783099" w14:paraId="2AD21EE3" w14:textId="77777777">
      <w:pPr>
        <w:spacing w:after="0" w:line="240" w:lineRule="auto"/>
      </w:pPr>
      <w:r>
        <w:separator/>
      </w:r>
    </w:p>
  </w:endnote>
  <w:endnote w:type="continuationSeparator" w:id="0">
    <w:p w:rsidR="00783099" w:rsidRDefault="00783099" w14:paraId="0D8C80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3099" w:rsidRDefault="00783099" w14:paraId="1B3D20FD" w14:textId="77777777">
      <w:pPr>
        <w:spacing w:after="0" w:line="240" w:lineRule="auto"/>
      </w:pPr>
      <w:r>
        <w:separator/>
      </w:r>
    </w:p>
  </w:footnote>
  <w:footnote w:type="continuationSeparator" w:id="0">
    <w:p w:rsidR="00783099" w:rsidRDefault="00783099" w14:paraId="65A6D6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4165CAD" w:rsidRDefault="04165CAD" w14:paraId="4EE90E8F" w14:textId="6E451B2F">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572742526">
    <w:abstractNumId w:val="8"/>
  </w:num>
  <w:num w:numId="2" w16cid:durableId="459499088">
    <w:abstractNumId w:val="6"/>
  </w:num>
  <w:num w:numId="3" w16cid:durableId="609050740">
    <w:abstractNumId w:val="5"/>
  </w:num>
  <w:num w:numId="4" w16cid:durableId="1010107394">
    <w:abstractNumId w:val="4"/>
  </w:num>
  <w:num w:numId="5" w16cid:durableId="1978483661">
    <w:abstractNumId w:val="7"/>
  </w:num>
  <w:num w:numId="6" w16cid:durableId="1168254081">
    <w:abstractNumId w:val="3"/>
  </w:num>
  <w:num w:numId="7" w16cid:durableId="1170759525">
    <w:abstractNumId w:val="2"/>
  </w:num>
  <w:num w:numId="8" w16cid:durableId="2111658507">
    <w:abstractNumId w:val="1"/>
  </w:num>
  <w:num w:numId="9" w16cid:durableId="30758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099"/>
    <w:rsid w:val="009511D0"/>
    <w:rsid w:val="00983881"/>
    <w:rsid w:val="00AA1D8D"/>
    <w:rsid w:val="00B47730"/>
    <w:rsid w:val="00B66158"/>
    <w:rsid w:val="00CB0664"/>
    <w:rsid w:val="00CE0DA4"/>
    <w:rsid w:val="00CF7838"/>
    <w:rsid w:val="00FC693F"/>
    <w:rsid w:val="04165CAD"/>
    <w:rsid w:val="2473E91A"/>
    <w:rsid w:val="2E6CA6CC"/>
    <w:rsid w:val="4B1CA4E2"/>
    <w:rsid w:val="4BBEBAE1"/>
    <w:rsid w:val="59232A41"/>
    <w:rsid w:val="59E34ABF"/>
    <w:rsid w:val="5B589235"/>
    <w:rsid w:val="61D8A870"/>
    <w:rsid w:val="62E6E8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4B5806-0CD6-4BC7-9F95-6CA92EC1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081B33"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B2545"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B2545"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B2545"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51222"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51222"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0B2545"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081B33"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0B2545"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0B2545" w:themeColor="accent1"/>
    </w:rPr>
  </w:style>
  <w:style w:type="paragraph" w:styleId="Title">
    <w:name w:val="Title"/>
    <w:basedOn w:val="Normal"/>
    <w:next w:val="Normal"/>
    <w:link w:val="TitleChar"/>
    <w:uiPriority w:val="10"/>
    <w:qFormat/>
    <w:rsid w:val="00FC693F"/>
    <w:pPr>
      <w:pBdr>
        <w:bottom w:val="single" w:color="0B2545" w:themeColor="accent1" w:sz="8" w:space="4"/>
      </w:pBdr>
      <w:spacing w:after="300" w:line="240" w:lineRule="auto"/>
      <w:contextualSpacing/>
    </w:pPr>
    <w:rPr>
      <w:rFonts w:asciiTheme="majorHAnsi" w:hAnsiTheme="majorHAnsi" w:eastAsiaTheme="majorEastAsia" w:cstheme="majorBidi"/>
      <w:color w:val="081B33"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081B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0B2545"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0B2545"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0B2545"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51222"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51222"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0B2545"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B2545"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0B2545" w:themeColor="accent1" w:sz="4" w:space="4"/>
      </w:pBdr>
      <w:spacing w:before="200" w:after="280"/>
      <w:ind w:left="936" w:right="936"/>
    </w:pPr>
    <w:rPr>
      <w:b/>
      <w:bCs/>
      <w:i/>
      <w:iCs/>
      <w:color w:val="0B2545" w:themeColor="accent1"/>
    </w:rPr>
  </w:style>
  <w:style w:type="character" w:styleId="IntenseQuoteChar" w:customStyle="1">
    <w:name w:val="Intense Quote Char"/>
    <w:basedOn w:val="DefaultParagraphFont"/>
    <w:link w:val="IntenseQuote"/>
    <w:uiPriority w:val="30"/>
    <w:rsid w:val="00FC693F"/>
    <w:rPr>
      <w:b/>
      <w:bCs/>
      <w:i/>
      <w:iCs/>
      <w:color w:val="0B2545"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0B2545" w:themeColor="accent1"/>
    </w:rPr>
  </w:style>
  <w:style w:type="character" w:styleId="SubtleReference">
    <w:name w:val="Subtle Reference"/>
    <w:basedOn w:val="DefaultParagraphFont"/>
    <w:uiPriority w:val="31"/>
    <w:qFormat/>
    <w:rsid w:val="00FC693F"/>
    <w:rPr>
      <w:smallCaps/>
      <w:color w:val="5A6B7D" w:themeColor="accent2"/>
      <w:u w:val="single"/>
    </w:rPr>
  </w:style>
  <w:style w:type="character" w:styleId="IntenseReference">
    <w:name w:val="Intense Reference"/>
    <w:basedOn w:val="DefaultParagraphFont"/>
    <w:uiPriority w:val="32"/>
    <w:qFormat/>
    <w:rsid w:val="00FC693F"/>
    <w:rPr>
      <w:b/>
      <w:bCs/>
      <w:smallCaps/>
      <w:color w:val="5A6B7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081B33" w:themeColor="accent1" w:themeShade="BF"/>
    </w:rPr>
    <w:tblPr>
      <w:tblStyleRowBandSize w:val="1"/>
      <w:tblStyleColBandSize w:val="1"/>
      <w:tblBorders>
        <w:top w:val="single" w:color="0B2545" w:themeColor="accent1" w:sz="8" w:space="0"/>
        <w:bottom w:val="single" w:color="0B2545" w:themeColor="accent1" w:sz="8" w:space="0"/>
      </w:tblBorders>
    </w:tblPr>
    <w:tblStylePr w:type="firstRow">
      <w:pPr>
        <w:spacing w:before="0" w:after="0" w:line="240" w:lineRule="auto"/>
      </w:pPr>
      <w:rPr>
        <w:b/>
        <w:bCs/>
      </w:rPr>
      <w:tblPr/>
      <w:tcPr>
        <w:tcBorders>
          <w:top w:val="single" w:color="0B2545" w:themeColor="accent1" w:sz="8" w:space="0"/>
          <w:left w:val="nil"/>
          <w:bottom w:val="single" w:color="0B2545" w:themeColor="accent1" w:sz="8" w:space="0"/>
          <w:right w:val="nil"/>
          <w:insideH w:val="nil"/>
          <w:insideV w:val="nil"/>
        </w:tcBorders>
      </w:tcPr>
    </w:tblStylePr>
    <w:tblStylePr w:type="lastRow">
      <w:pPr>
        <w:spacing w:before="0" w:after="0" w:line="240" w:lineRule="auto"/>
      </w:pPr>
      <w:rPr>
        <w:b/>
        <w:bCs/>
      </w:rPr>
      <w:tblPr/>
      <w:tcPr>
        <w:tcBorders>
          <w:top w:val="single" w:color="0B2545" w:themeColor="accent1" w:sz="8" w:space="0"/>
          <w:left w:val="nil"/>
          <w:bottom w:val="single" w:color="0B254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1" w:themeFillTint="3F"/>
      </w:tcPr>
    </w:tblStylePr>
    <w:tblStylePr w:type="band1Horz">
      <w:tblPr/>
      <w:tcPr>
        <w:tcBorders>
          <w:left w:val="nil"/>
          <w:right w:val="nil"/>
          <w:insideH w:val="nil"/>
          <w:insideV w:val="nil"/>
        </w:tcBorders>
        <w:shd w:val="clear" w:color="auto" w:fill="A3C5F0" w:themeFill="accent1" w:themeFillTint="3F"/>
      </w:tcPr>
    </w:tblStylePr>
  </w:style>
  <w:style w:type="table" w:styleId="LightShading-Accent2">
    <w:name w:val="Light Shading Accent 2"/>
    <w:basedOn w:val="TableNormal"/>
    <w:uiPriority w:val="60"/>
    <w:rsid w:val="00FC693F"/>
    <w:pPr>
      <w:spacing w:after="0" w:line="240" w:lineRule="auto"/>
    </w:pPr>
    <w:rPr>
      <w:color w:val="43505D" w:themeColor="accent2" w:themeShade="BF"/>
    </w:rPr>
    <w:tblPr>
      <w:tblStyleRowBandSize w:val="1"/>
      <w:tblStyleColBandSize w:val="1"/>
      <w:tblBorders>
        <w:top w:val="single" w:color="5A6B7D" w:themeColor="accent2" w:sz="8" w:space="0"/>
        <w:bottom w:val="single" w:color="5A6B7D" w:themeColor="accent2" w:sz="8" w:space="0"/>
      </w:tblBorders>
    </w:tblPr>
    <w:tblStylePr w:type="firstRow">
      <w:pPr>
        <w:spacing w:before="0" w:after="0" w:line="240" w:lineRule="auto"/>
      </w:pPr>
      <w:rPr>
        <w:b/>
        <w:bCs/>
      </w:rPr>
      <w:tblPr/>
      <w:tcPr>
        <w:tcBorders>
          <w:top w:val="single" w:color="5A6B7D" w:themeColor="accent2" w:sz="8" w:space="0"/>
          <w:left w:val="nil"/>
          <w:bottom w:val="single" w:color="5A6B7D" w:themeColor="accent2" w:sz="8" w:space="0"/>
          <w:right w:val="nil"/>
          <w:insideH w:val="nil"/>
          <w:insideV w:val="nil"/>
        </w:tcBorders>
      </w:tcPr>
    </w:tblStylePr>
    <w:tblStylePr w:type="lastRow">
      <w:pPr>
        <w:spacing w:before="0" w:after="0" w:line="240" w:lineRule="auto"/>
      </w:pPr>
      <w:rPr>
        <w:b/>
        <w:bCs/>
      </w:rPr>
      <w:tblPr/>
      <w:tcPr>
        <w:tcBorders>
          <w:top w:val="single" w:color="5A6B7D" w:themeColor="accent2" w:sz="8" w:space="0"/>
          <w:left w:val="nil"/>
          <w:bottom w:val="single" w:color="5A6B7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DAE0" w:themeFill="accent2" w:themeFillTint="3F"/>
      </w:tcPr>
    </w:tblStylePr>
    <w:tblStylePr w:type="band1Horz">
      <w:tblPr/>
      <w:tcPr>
        <w:tcBorders>
          <w:left w:val="nil"/>
          <w:right w:val="nil"/>
          <w:insideH w:val="nil"/>
          <w:insideV w:val="nil"/>
        </w:tcBorders>
        <w:shd w:val="clear" w:color="auto" w:fill="D4DAE0" w:themeFill="accent2" w:themeFillTint="3F"/>
      </w:tcPr>
    </w:tblStylePr>
  </w:style>
  <w:style w:type="table" w:styleId="LightShading-Accent3">
    <w:name w:val="Light Shading Accent 3"/>
    <w:basedOn w:val="TableNormal"/>
    <w:uiPriority w:val="60"/>
    <w:rsid w:val="00FC693F"/>
    <w:pPr>
      <w:spacing w:after="0" w:line="240" w:lineRule="auto"/>
    </w:pPr>
    <w:rPr>
      <w:color w:val="081B33" w:themeColor="accent3" w:themeShade="BF"/>
    </w:rPr>
    <w:tblPr>
      <w:tblStyleRowBandSize w:val="1"/>
      <w:tblStyleColBandSize w:val="1"/>
      <w:tblBorders>
        <w:top w:val="single" w:color="0B2545" w:themeColor="accent3" w:sz="8" w:space="0"/>
        <w:bottom w:val="single" w:color="0B2545" w:themeColor="accent3" w:sz="8" w:space="0"/>
      </w:tblBorders>
    </w:tblPr>
    <w:tblStylePr w:type="firstRow">
      <w:pPr>
        <w:spacing w:before="0" w:after="0" w:line="240" w:lineRule="auto"/>
      </w:pPr>
      <w:rPr>
        <w:b/>
        <w:bCs/>
      </w:rPr>
      <w:tblPr/>
      <w:tcPr>
        <w:tcBorders>
          <w:top w:val="single" w:color="0B2545" w:themeColor="accent3" w:sz="8" w:space="0"/>
          <w:left w:val="nil"/>
          <w:bottom w:val="single" w:color="0B2545" w:themeColor="accent3" w:sz="8" w:space="0"/>
          <w:right w:val="nil"/>
          <w:insideH w:val="nil"/>
          <w:insideV w:val="nil"/>
        </w:tcBorders>
      </w:tcPr>
    </w:tblStylePr>
    <w:tblStylePr w:type="lastRow">
      <w:pPr>
        <w:spacing w:before="0" w:after="0" w:line="240" w:lineRule="auto"/>
      </w:pPr>
      <w:rPr>
        <w:b/>
        <w:bCs/>
      </w:rPr>
      <w:tblPr/>
      <w:tcPr>
        <w:tcBorders>
          <w:top w:val="single" w:color="0B2545" w:themeColor="accent3" w:sz="8" w:space="0"/>
          <w:left w:val="nil"/>
          <w:bottom w:val="single" w:color="0B254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3" w:themeFillTint="3F"/>
      </w:tcPr>
    </w:tblStylePr>
    <w:tblStylePr w:type="band1Horz">
      <w:tblPr/>
      <w:tcPr>
        <w:tcBorders>
          <w:left w:val="nil"/>
          <w:right w:val="nil"/>
          <w:insideH w:val="nil"/>
          <w:insideV w:val="nil"/>
        </w:tcBorders>
        <w:shd w:val="clear" w:color="auto" w:fill="A3C5F0" w:themeFill="accent3" w:themeFillTint="3F"/>
      </w:tcPr>
    </w:tblStylePr>
  </w:style>
  <w:style w:type="table" w:styleId="LightShading-Accent4">
    <w:name w:val="Light Shading Accent 4"/>
    <w:basedOn w:val="TableNormal"/>
    <w:uiPriority w:val="60"/>
    <w:rsid w:val="00FC693F"/>
    <w:pPr>
      <w:spacing w:after="0" w:line="240" w:lineRule="auto"/>
    </w:pPr>
    <w:rPr>
      <w:color w:val="081B33" w:themeColor="accent4" w:themeShade="BF"/>
    </w:rPr>
    <w:tblPr>
      <w:tblStyleRowBandSize w:val="1"/>
      <w:tblStyleColBandSize w:val="1"/>
      <w:tblBorders>
        <w:top w:val="single" w:color="0B2545" w:themeColor="accent4" w:sz="8" w:space="0"/>
        <w:bottom w:val="single" w:color="0B2545" w:themeColor="accent4" w:sz="8" w:space="0"/>
      </w:tblBorders>
    </w:tblPr>
    <w:tblStylePr w:type="firstRow">
      <w:pPr>
        <w:spacing w:before="0" w:after="0" w:line="240" w:lineRule="auto"/>
      </w:pPr>
      <w:rPr>
        <w:b/>
        <w:bCs/>
      </w:rPr>
      <w:tblPr/>
      <w:tcPr>
        <w:tcBorders>
          <w:top w:val="single" w:color="0B2545" w:themeColor="accent4" w:sz="8" w:space="0"/>
          <w:left w:val="nil"/>
          <w:bottom w:val="single" w:color="0B2545" w:themeColor="accent4" w:sz="8" w:space="0"/>
          <w:right w:val="nil"/>
          <w:insideH w:val="nil"/>
          <w:insideV w:val="nil"/>
        </w:tcBorders>
      </w:tcPr>
    </w:tblStylePr>
    <w:tblStylePr w:type="lastRow">
      <w:pPr>
        <w:spacing w:before="0" w:after="0" w:line="240" w:lineRule="auto"/>
      </w:pPr>
      <w:rPr>
        <w:b/>
        <w:bCs/>
      </w:rPr>
      <w:tblPr/>
      <w:tcPr>
        <w:tcBorders>
          <w:top w:val="single" w:color="0B2545" w:themeColor="accent4" w:sz="8" w:space="0"/>
          <w:left w:val="nil"/>
          <w:bottom w:val="single" w:color="0B254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4" w:themeFillTint="3F"/>
      </w:tcPr>
    </w:tblStylePr>
    <w:tblStylePr w:type="band1Horz">
      <w:tblPr/>
      <w:tcPr>
        <w:tcBorders>
          <w:left w:val="nil"/>
          <w:right w:val="nil"/>
          <w:insideH w:val="nil"/>
          <w:insideV w:val="nil"/>
        </w:tcBorders>
        <w:shd w:val="clear" w:color="auto" w:fill="A3C5F0" w:themeFill="accent4" w:themeFillTint="3F"/>
      </w:tcPr>
    </w:tblStylePr>
  </w:style>
  <w:style w:type="table" w:styleId="LightShading-Accent5">
    <w:name w:val="Light Shading Accent 5"/>
    <w:basedOn w:val="TableNormal"/>
    <w:uiPriority w:val="60"/>
    <w:rsid w:val="00FC693F"/>
    <w:pPr>
      <w:spacing w:after="0" w:line="240" w:lineRule="auto"/>
    </w:pPr>
    <w:rPr>
      <w:color w:val="081B33" w:themeColor="accent5" w:themeShade="BF"/>
    </w:rPr>
    <w:tblPr>
      <w:tblStyleRowBandSize w:val="1"/>
      <w:tblStyleColBandSize w:val="1"/>
      <w:tblBorders>
        <w:top w:val="single" w:color="0B2545" w:themeColor="accent5" w:sz="8" w:space="0"/>
        <w:bottom w:val="single" w:color="0B2545" w:themeColor="accent5" w:sz="8" w:space="0"/>
      </w:tblBorders>
    </w:tblPr>
    <w:tblStylePr w:type="firstRow">
      <w:pPr>
        <w:spacing w:before="0" w:after="0" w:line="240" w:lineRule="auto"/>
      </w:pPr>
      <w:rPr>
        <w:b/>
        <w:bCs/>
      </w:rPr>
      <w:tblPr/>
      <w:tcPr>
        <w:tcBorders>
          <w:top w:val="single" w:color="0B2545" w:themeColor="accent5" w:sz="8" w:space="0"/>
          <w:left w:val="nil"/>
          <w:bottom w:val="single" w:color="0B2545" w:themeColor="accent5" w:sz="8" w:space="0"/>
          <w:right w:val="nil"/>
          <w:insideH w:val="nil"/>
          <w:insideV w:val="nil"/>
        </w:tcBorders>
      </w:tcPr>
    </w:tblStylePr>
    <w:tblStylePr w:type="lastRow">
      <w:pPr>
        <w:spacing w:before="0" w:after="0" w:line="240" w:lineRule="auto"/>
      </w:pPr>
      <w:rPr>
        <w:b/>
        <w:bCs/>
      </w:rPr>
      <w:tblPr/>
      <w:tcPr>
        <w:tcBorders>
          <w:top w:val="single" w:color="0B2545" w:themeColor="accent5" w:sz="8" w:space="0"/>
          <w:left w:val="nil"/>
          <w:bottom w:val="single" w:color="0B254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5" w:themeFillTint="3F"/>
      </w:tcPr>
    </w:tblStylePr>
    <w:tblStylePr w:type="band1Horz">
      <w:tblPr/>
      <w:tcPr>
        <w:tcBorders>
          <w:left w:val="nil"/>
          <w:right w:val="nil"/>
          <w:insideH w:val="nil"/>
          <w:insideV w:val="nil"/>
        </w:tcBorders>
        <w:shd w:val="clear" w:color="auto" w:fill="A3C5F0" w:themeFill="accent5" w:themeFillTint="3F"/>
      </w:tcPr>
    </w:tblStylePr>
  </w:style>
  <w:style w:type="table" w:styleId="LightShading-Accent6">
    <w:name w:val="Light Shading Accent 6"/>
    <w:basedOn w:val="TableNormal"/>
    <w:uiPriority w:val="60"/>
    <w:rsid w:val="00FC693F"/>
    <w:pPr>
      <w:spacing w:after="0" w:line="240" w:lineRule="auto"/>
    </w:pPr>
    <w:rPr>
      <w:color w:val="081B33" w:themeColor="accent6" w:themeShade="BF"/>
    </w:rPr>
    <w:tblPr>
      <w:tblStyleRowBandSize w:val="1"/>
      <w:tblStyleColBandSize w:val="1"/>
      <w:tblBorders>
        <w:top w:val="single" w:color="0B2545" w:themeColor="accent6" w:sz="8" w:space="0"/>
        <w:bottom w:val="single" w:color="0B2545" w:themeColor="accent6" w:sz="8" w:space="0"/>
      </w:tblBorders>
    </w:tblPr>
    <w:tblStylePr w:type="firstRow">
      <w:pPr>
        <w:spacing w:before="0" w:after="0" w:line="240" w:lineRule="auto"/>
      </w:pPr>
      <w:rPr>
        <w:b/>
        <w:bCs/>
      </w:rPr>
      <w:tblPr/>
      <w:tcPr>
        <w:tcBorders>
          <w:top w:val="single" w:color="0B2545" w:themeColor="accent6" w:sz="8" w:space="0"/>
          <w:left w:val="nil"/>
          <w:bottom w:val="single" w:color="0B2545" w:themeColor="accent6" w:sz="8" w:space="0"/>
          <w:right w:val="nil"/>
          <w:insideH w:val="nil"/>
          <w:insideV w:val="nil"/>
        </w:tcBorders>
      </w:tcPr>
    </w:tblStylePr>
    <w:tblStylePr w:type="lastRow">
      <w:pPr>
        <w:spacing w:before="0" w:after="0" w:line="240" w:lineRule="auto"/>
      </w:pPr>
      <w:rPr>
        <w:b/>
        <w:bCs/>
      </w:rPr>
      <w:tblPr/>
      <w:tcPr>
        <w:tcBorders>
          <w:top w:val="single" w:color="0B2545" w:themeColor="accent6" w:sz="8" w:space="0"/>
          <w:left w:val="nil"/>
          <w:bottom w:val="single" w:color="0B2545"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5F0" w:themeFill="accent6" w:themeFillTint="3F"/>
      </w:tcPr>
    </w:tblStylePr>
    <w:tblStylePr w:type="band1Horz">
      <w:tblPr/>
      <w:tcPr>
        <w:tcBorders>
          <w:left w:val="nil"/>
          <w:right w:val="nil"/>
          <w:insideH w:val="nil"/>
          <w:insideV w:val="nil"/>
        </w:tcBorders>
        <w:shd w:val="clear" w:color="auto" w:fill="A3C5F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tblBorders>
    </w:tblPr>
    <w:tblStylePr w:type="firstRow">
      <w:pPr>
        <w:spacing w:before="0" w:after="0" w:line="240" w:lineRule="auto"/>
      </w:pPr>
      <w:rPr>
        <w:b/>
        <w:bCs/>
        <w:color w:val="FFFFFF" w:themeColor="background1"/>
      </w:rPr>
      <w:tblPr/>
      <w:tcPr>
        <w:shd w:val="clear" w:color="auto" w:fill="0B2545" w:themeFill="accent1"/>
      </w:tcPr>
    </w:tblStylePr>
    <w:tblStylePr w:type="lastRow">
      <w:pPr>
        <w:spacing w:before="0" w:after="0" w:line="240" w:lineRule="auto"/>
      </w:pPr>
      <w:rPr>
        <w:b/>
        <w:bCs/>
      </w:rPr>
      <w:tblPr/>
      <w:tcPr>
        <w:tcBorders>
          <w:top w:val="double" w:color="0B2545" w:themeColor="accent1" w:sz="6" w:space="0"/>
          <w:left w:val="single" w:color="0B2545" w:themeColor="accent1" w:sz="8" w:space="0"/>
          <w:bottom w:val="single" w:color="0B2545" w:themeColor="accent1" w:sz="8" w:space="0"/>
          <w:right w:val="single" w:color="0B2545" w:themeColor="accent1" w:sz="8" w:space="0"/>
        </w:tcBorders>
      </w:tcPr>
    </w:tblStylePr>
    <w:tblStylePr w:type="firstCol">
      <w:rPr>
        <w:b/>
        <w:bCs/>
      </w:rPr>
    </w:tblStylePr>
    <w:tblStylePr w:type="lastCol">
      <w:rPr>
        <w:b/>
        <w:bCs/>
      </w:rPr>
    </w:tblStylePr>
    <w:tblStylePr w:type="band1Vert">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tblStylePr w:type="band1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A6B7D" w:themeColor="accent2" w:sz="8" w:space="0"/>
        <w:left w:val="single" w:color="5A6B7D" w:themeColor="accent2" w:sz="8" w:space="0"/>
        <w:bottom w:val="single" w:color="5A6B7D" w:themeColor="accent2" w:sz="8" w:space="0"/>
        <w:right w:val="single" w:color="5A6B7D" w:themeColor="accent2" w:sz="8" w:space="0"/>
      </w:tblBorders>
    </w:tblPr>
    <w:tblStylePr w:type="firstRow">
      <w:pPr>
        <w:spacing w:before="0" w:after="0" w:line="240" w:lineRule="auto"/>
      </w:pPr>
      <w:rPr>
        <w:b/>
        <w:bCs/>
        <w:color w:val="FFFFFF" w:themeColor="background1"/>
      </w:rPr>
      <w:tblPr/>
      <w:tcPr>
        <w:shd w:val="clear" w:color="auto" w:fill="5A6B7D" w:themeFill="accent2"/>
      </w:tcPr>
    </w:tblStylePr>
    <w:tblStylePr w:type="lastRow">
      <w:pPr>
        <w:spacing w:before="0" w:after="0" w:line="240" w:lineRule="auto"/>
      </w:pPr>
      <w:rPr>
        <w:b/>
        <w:bCs/>
      </w:rPr>
      <w:tblPr/>
      <w:tcPr>
        <w:tcBorders>
          <w:top w:val="double" w:color="5A6B7D" w:themeColor="accent2" w:sz="6" w:space="0"/>
          <w:left w:val="single" w:color="5A6B7D" w:themeColor="accent2" w:sz="8" w:space="0"/>
          <w:bottom w:val="single" w:color="5A6B7D" w:themeColor="accent2" w:sz="8" w:space="0"/>
          <w:right w:val="single" w:color="5A6B7D" w:themeColor="accent2" w:sz="8" w:space="0"/>
        </w:tcBorders>
      </w:tcPr>
    </w:tblStylePr>
    <w:tblStylePr w:type="firstCol">
      <w:rPr>
        <w:b/>
        <w:bCs/>
      </w:rPr>
    </w:tblStylePr>
    <w:tblStylePr w:type="lastCol">
      <w:rPr>
        <w:b/>
        <w:bCs/>
      </w:rPr>
    </w:tblStylePr>
    <w:tblStylePr w:type="band1Vert">
      <w:tblPr/>
      <w:tcPr>
        <w:tcBorders>
          <w:top w:val="single" w:color="5A6B7D" w:themeColor="accent2" w:sz="8" w:space="0"/>
          <w:left w:val="single" w:color="5A6B7D" w:themeColor="accent2" w:sz="8" w:space="0"/>
          <w:bottom w:val="single" w:color="5A6B7D" w:themeColor="accent2" w:sz="8" w:space="0"/>
          <w:right w:val="single" w:color="5A6B7D" w:themeColor="accent2" w:sz="8" w:space="0"/>
        </w:tcBorders>
      </w:tcPr>
    </w:tblStylePr>
    <w:tblStylePr w:type="band1Horz">
      <w:tblPr/>
      <w:tcPr>
        <w:tcBorders>
          <w:top w:val="single" w:color="5A6B7D" w:themeColor="accent2" w:sz="8" w:space="0"/>
          <w:left w:val="single" w:color="5A6B7D" w:themeColor="accent2" w:sz="8" w:space="0"/>
          <w:bottom w:val="single" w:color="5A6B7D" w:themeColor="accent2" w:sz="8" w:space="0"/>
          <w:right w:val="single" w:color="5A6B7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tblBorders>
    </w:tblPr>
    <w:tblStylePr w:type="firstRow">
      <w:pPr>
        <w:spacing w:before="0" w:after="0" w:line="240" w:lineRule="auto"/>
      </w:pPr>
      <w:rPr>
        <w:b/>
        <w:bCs/>
        <w:color w:val="FFFFFF" w:themeColor="background1"/>
      </w:rPr>
      <w:tblPr/>
      <w:tcPr>
        <w:shd w:val="clear" w:color="auto" w:fill="0B2545" w:themeFill="accent3"/>
      </w:tcPr>
    </w:tblStylePr>
    <w:tblStylePr w:type="lastRow">
      <w:pPr>
        <w:spacing w:before="0" w:after="0" w:line="240" w:lineRule="auto"/>
      </w:pPr>
      <w:rPr>
        <w:b/>
        <w:bCs/>
      </w:rPr>
      <w:tblPr/>
      <w:tcPr>
        <w:tcBorders>
          <w:top w:val="double" w:color="0B2545" w:themeColor="accent3" w:sz="6" w:space="0"/>
          <w:left w:val="single" w:color="0B2545" w:themeColor="accent3" w:sz="8" w:space="0"/>
          <w:bottom w:val="single" w:color="0B2545" w:themeColor="accent3" w:sz="8" w:space="0"/>
          <w:right w:val="single" w:color="0B2545" w:themeColor="accent3" w:sz="8" w:space="0"/>
        </w:tcBorders>
      </w:tcPr>
    </w:tblStylePr>
    <w:tblStylePr w:type="firstCol">
      <w:rPr>
        <w:b/>
        <w:bCs/>
      </w:rPr>
    </w:tblStylePr>
    <w:tblStylePr w:type="lastCol">
      <w:rPr>
        <w:b/>
        <w:bCs/>
      </w:rPr>
    </w:tblStylePr>
    <w:tblStylePr w:type="band1Vert">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tblStylePr w:type="band1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tblBorders>
    </w:tblPr>
    <w:tblStylePr w:type="firstRow">
      <w:pPr>
        <w:spacing w:before="0" w:after="0" w:line="240" w:lineRule="auto"/>
      </w:pPr>
      <w:rPr>
        <w:b/>
        <w:bCs/>
        <w:color w:val="FFFFFF" w:themeColor="background1"/>
      </w:rPr>
      <w:tblPr/>
      <w:tcPr>
        <w:shd w:val="clear" w:color="auto" w:fill="0B2545" w:themeFill="accent4"/>
      </w:tcPr>
    </w:tblStylePr>
    <w:tblStylePr w:type="lastRow">
      <w:pPr>
        <w:spacing w:before="0" w:after="0" w:line="240" w:lineRule="auto"/>
      </w:pPr>
      <w:rPr>
        <w:b/>
        <w:bCs/>
      </w:rPr>
      <w:tblPr/>
      <w:tcPr>
        <w:tcBorders>
          <w:top w:val="double" w:color="0B2545" w:themeColor="accent4" w:sz="6" w:space="0"/>
          <w:left w:val="single" w:color="0B2545" w:themeColor="accent4" w:sz="8" w:space="0"/>
          <w:bottom w:val="single" w:color="0B2545" w:themeColor="accent4" w:sz="8" w:space="0"/>
          <w:right w:val="single" w:color="0B2545" w:themeColor="accent4" w:sz="8" w:space="0"/>
        </w:tcBorders>
      </w:tcPr>
    </w:tblStylePr>
    <w:tblStylePr w:type="firstCol">
      <w:rPr>
        <w:b/>
        <w:bCs/>
      </w:rPr>
    </w:tblStylePr>
    <w:tblStylePr w:type="lastCol">
      <w:rPr>
        <w:b/>
        <w:bCs/>
      </w:rPr>
    </w:tblStylePr>
    <w:tblStylePr w:type="band1Vert">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tblStylePr w:type="band1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tblBorders>
    </w:tblPr>
    <w:tblStylePr w:type="firstRow">
      <w:pPr>
        <w:spacing w:before="0" w:after="0" w:line="240" w:lineRule="auto"/>
      </w:pPr>
      <w:rPr>
        <w:b/>
        <w:bCs/>
        <w:color w:val="FFFFFF" w:themeColor="background1"/>
      </w:rPr>
      <w:tblPr/>
      <w:tcPr>
        <w:shd w:val="clear" w:color="auto" w:fill="0B2545" w:themeFill="accent5"/>
      </w:tcPr>
    </w:tblStylePr>
    <w:tblStylePr w:type="lastRow">
      <w:pPr>
        <w:spacing w:before="0" w:after="0" w:line="240" w:lineRule="auto"/>
      </w:pPr>
      <w:rPr>
        <w:b/>
        <w:bCs/>
      </w:rPr>
      <w:tblPr/>
      <w:tcPr>
        <w:tcBorders>
          <w:top w:val="double" w:color="0B2545" w:themeColor="accent5" w:sz="6" w:space="0"/>
          <w:left w:val="single" w:color="0B2545" w:themeColor="accent5" w:sz="8" w:space="0"/>
          <w:bottom w:val="single" w:color="0B2545" w:themeColor="accent5" w:sz="8" w:space="0"/>
          <w:right w:val="single" w:color="0B2545" w:themeColor="accent5" w:sz="8" w:space="0"/>
        </w:tcBorders>
      </w:tcPr>
    </w:tblStylePr>
    <w:tblStylePr w:type="firstCol">
      <w:rPr>
        <w:b/>
        <w:bCs/>
      </w:rPr>
    </w:tblStylePr>
    <w:tblStylePr w:type="lastCol">
      <w:rPr>
        <w:b/>
        <w:bCs/>
      </w:rPr>
    </w:tblStylePr>
    <w:tblStylePr w:type="band1Vert">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tblStylePr w:type="band1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tblBorders>
    </w:tblPr>
    <w:tblStylePr w:type="firstRow">
      <w:pPr>
        <w:spacing w:before="0" w:after="0" w:line="240" w:lineRule="auto"/>
      </w:pPr>
      <w:rPr>
        <w:b/>
        <w:bCs/>
        <w:color w:val="FFFFFF" w:themeColor="background1"/>
      </w:rPr>
      <w:tblPr/>
      <w:tcPr>
        <w:shd w:val="clear" w:color="auto" w:fill="0B2545" w:themeFill="accent6"/>
      </w:tcPr>
    </w:tblStylePr>
    <w:tblStylePr w:type="lastRow">
      <w:pPr>
        <w:spacing w:before="0" w:after="0" w:line="240" w:lineRule="auto"/>
      </w:pPr>
      <w:rPr>
        <w:b/>
        <w:bCs/>
      </w:rPr>
      <w:tblPr/>
      <w:tcPr>
        <w:tcBorders>
          <w:top w:val="double" w:color="0B2545" w:themeColor="accent6" w:sz="6" w:space="0"/>
          <w:left w:val="single" w:color="0B2545" w:themeColor="accent6" w:sz="8" w:space="0"/>
          <w:bottom w:val="single" w:color="0B2545" w:themeColor="accent6" w:sz="8" w:space="0"/>
          <w:right w:val="single" w:color="0B2545" w:themeColor="accent6" w:sz="8" w:space="0"/>
        </w:tcBorders>
      </w:tcPr>
    </w:tblStylePr>
    <w:tblStylePr w:type="firstCol">
      <w:rPr>
        <w:b/>
        <w:bCs/>
      </w:rPr>
    </w:tblStylePr>
    <w:tblStylePr w:type="lastCol">
      <w:rPr>
        <w:b/>
        <w:bCs/>
      </w:rPr>
    </w:tblStylePr>
    <w:tblStylePr w:type="band1Vert">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tblStylePr w:type="band1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insideH w:val="single" w:color="0B2545" w:themeColor="accent1" w:sz="8" w:space="0"/>
        <w:insideV w:val="single" w:color="0B254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1" w:sz="8" w:space="0"/>
          <w:left w:val="single" w:color="0B2545" w:themeColor="accent1" w:sz="8" w:space="0"/>
          <w:bottom w:val="single" w:color="0B2545" w:themeColor="accent1" w:sz="18" w:space="0"/>
          <w:right w:val="single" w:color="0B2545" w:themeColor="accent1" w:sz="8" w:space="0"/>
          <w:insideH w:val="nil"/>
          <w:insideV w:val="single" w:color="0B254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1" w:sz="6" w:space="0"/>
          <w:left w:val="single" w:color="0B2545" w:themeColor="accent1" w:sz="8" w:space="0"/>
          <w:bottom w:val="single" w:color="0B2545" w:themeColor="accent1" w:sz="8" w:space="0"/>
          <w:right w:val="single" w:color="0B2545" w:themeColor="accent1" w:sz="8" w:space="0"/>
          <w:insideH w:val="nil"/>
          <w:insideV w:val="single" w:color="0B254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tcPr>
    </w:tblStylePr>
    <w:tblStylePr w:type="band1Vert">
      <w:tblPr/>
      <w:tcPr>
        <w:tcBorders>
          <w:top w:val="single" w:color="0B2545" w:themeColor="accent1" w:sz="8" w:space="0"/>
          <w:left w:val="single" w:color="0B2545" w:themeColor="accent1" w:sz="8" w:space="0"/>
          <w:bottom w:val="single" w:color="0B2545" w:themeColor="accent1" w:sz="8" w:space="0"/>
          <w:right w:val="single" w:color="0B2545" w:themeColor="accent1" w:sz="8" w:space="0"/>
        </w:tcBorders>
        <w:shd w:val="clear" w:color="auto" w:fill="A3C5F0" w:themeFill="accent1" w:themeFillTint="3F"/>
      </w:tcPr>
    </w:tblStylePr>
    <w:tblStylePr w:type="band1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insideV w:val="single" w:color="0B2545" w:themeColor="accent1" w:sz="8" w:space="0"/>
        </w:tcBorders>
        <w:shd w:val="clear" w:color="auto" w:fill="A3C5F0" w:themeFill="accent1" w:themeFillTint="3F"/>
      </w:tcPr>
    </w:tblStylePr>
    <w:tblStylePr w:type="band2Horz">
      <w:tblPr/>
      <w:tcPr>
        <w:tcBorders>
          <w:top w:val="single" w:color="0B2545" w:themeColor="accent1" w:sz="8" w:space="0"/>
          <w:left w:val="single" w:color="0B2545" w:themeColor="accent1" w:sz="8" w:space="0"/>
          <w:bottom w:val="single" w:color="0B2545" w:themeColor="accent1" w:sz="8" w:space="0"/>
          <w:right w:val="single" w:color="0B2545" w:themeColor="accent1" w:sz="8" w:space="0"/>
          <w:insideV w:val="single" w:color="0B2545"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A6B7D" w:themeColor="accent2" w:sz="8" w:space="0"/>
        <w:left w:val="single" w:color="5A6B7D" w:themeColor="accent2" w:sz="8" w:space="0"/>
        <w:bottom w:val="single" w:color="5A6B7D" w:themeColor="accent2" w:sz="8" w:space="0"/>
        <w:right w:val="single" w:color="5A6B7D" w:themeColor="accent2" w:sz="8" w:space="0"/>
        <w:insideH w:val="single" w:color="5A6B7D" w:themeColor="accent2" w:sz="8" w:space="0"/>
        <w:insideV w:val="single" w:color="5A6B7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A6B7D" w:themeColor="accent2" w:sz="8" w:space="0"/>
          <w:left w:val="single" w:color="5A6B7D" w:themeColor="accent2" w:sz="8" w:space="0"/>
          <w:bottom w:val="single" w:color="5A6B7D" w:themeColor="accent2" w:sz="18" w:space="0"/>
          <w:right w:val="single" w:color="5A6B7D" w:themeColor="accent2" w:sz="8" w:space="0"/>
          <w:insideH w:val="nil"/>
          <w:insideV w:val="single" w:color="5A6B7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A6B7D" w:themeColor="accent2" w:sz="6" w:space="0"/>
          <w:left w:val="single" w:color="5A6B7D" w:themeColor="accent2" w:sz="8" w:space="0"/>
          <w:bottom w:val="single" w:color="5A6B7D" w:themeColor="accent2" w:sz="8" w:space="0"/>
          <w:right w:val="single" w:color="5A6B7D" w:themeColor="accent2" w:sz="8" w:space="0"/>
          <w:insideH w:val="nil"/>
          <w:insideV w:val="single" w:color="5A6B7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A6B7D" w:themeColor="accent2" w:sz="8" w:space="0"/>
          <w:left w:val="single" w:color="5A6B7D" w:themeColor="accent2" w:sz="8" w:space="0"/>
          <w:bottom w:val="single" w:color="5A6B7D" w:themeColor="accent2" w:sz="8" w:space="0"/>
          <w:right w:val="single" w:color="5A6B7D" w:themeColor="accent2" w:sz="8" w:space="0"/>
        </w:tcBorders>
      </w:tcPr>
    </w:tblStylePr>
    <w:tblStylePr w:type="band1Vert">
      <w:tblPr/>
      <w:tcPr>
        <w:tcBorders>
          <w:top w:val="single" w:color="5A6B7D" w:themeColor="accent2" w:sz="8" w:space="0"/>
          <w:left w:val="single" w:color="5A6B7D" w:themeColor="accent2" w:sz="8" w:space="0"/>
          <w:bottom w:val="single" w:color="5A6B7D" w:themeColor="accent2" w:sz="8" w:space="0"/>
          <w:right w:val="single" w:color="5A6B7D" w:themeColor="accent2" w:sz="8" w:space="0"/>
        </w:tcBorders>
        <w:shd w:val="clear" w:color="auto" w:fill="D4DAE0" w:themeFill="accent2" w:themeFillTint="3F"/>
      </w:tcPr>
    </w:tblStylePr>
    <w:tblStylePr w:type="band1Horz">
      <w:tblPr/>
      <w:tcPr>
        <w:tcBorders>
          <w:top w:val="single" w:color="5A6B7D" w:themeColor="accent2" w:sz="8" w:space="0"/>
          <w:left w:val="single" w:color="5A6B7D" w:themeColor="accent2" w:sz="8" w:space="0"/>
          <w:bottom w:val="single" w:color="5A6B7D" w:themeColor="accent2" w:sz="8" w:space="0"/>
          <w:right w:val="single" w:color="5A6B7D" w:themeColor="accent2" w:sz="8" w:space="0"/>
          <w:insideV w:val="single" w:color="5A6B7D" w:themeColor="accent2" w:sz="8" w:space="0"/>
        </w:tcBorders>
        <w:shd w:val="clear" w:color="auto" w:fill="D4DAE0" w:themeFill="accent2" w:themeFillTint="3F"/>
      </w:tcPr>
    </w:tblStylePr>
    <w:tblStylePr w:type="band2Horz">
      <w:tblPr/>
      <w:tcPr>
        <w:tcBorders>
          <w:top w:val="single" w:color="5A6B7D" w:themeColor="accent2" w:sz="8" w:space="0"/>
          <w:left w:val="single" w:color="5A6B7D" w:themeColor="accent2" w:sz="8" w:space="0"/>
          <w:bottom w:val="single" w:color="5A6B7D" w:themeColor="accent2" w:sz="8" w:space="0"/>
          <w:right w:val="single" w:color="5A6B7D" w:themeColor="accent2" w:sz="8" w:space="0"/>
          <w:insideV w:val="single" w:color="5A6B7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insideH w:val="single" w:color="0B2545" w:themeColor="accent3" w:sz="8" w:space="0"/>
        <w:insideV w:val="single" w:color="0B254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3" w:sz="8" w:space="0"/>
          <w:left w:val="single" w:color="0B2545" w:themeColor="accent3" w:sz="8" w:space="0"/>
          <w:bottom w:val="single" w:color="0B2545" w:themeColor="accent3" w:sz="18" w:space="0"/>
          <w:right w:val="single" w:color="0B2545" w:themeColor="accent3" w:sz="8" w:space="0"/>
          <w:insideH w:val="nil"/>
          <w:insideV w:val="single" w:color="0B254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3" w:sz="6" w:space="0"/>
          <w:left w:val="single" w:color="0B2545" w:themeColor="accent3" w:sz="8" w:space="0"/>
          <w:bottom w:val="single" w:color="0B2545" w:themeColor="accent3" w:sz="8" w:space="0"/>
          <w:right w:val="single" w:color="0B2545" w:themeColor="accent3" w:sz="8" w:space="0"/>
          <w:insideH w:val="nil"/>
          <w:insideV w:val="single" w:color="0B254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tcPr>
    </w:tblStylePr>
    <w:tblStylePr w:type="band1Vert">
      <w:tblPr/>
      <w:tcPr>
        <w:tcBorders>
          <w:top w:val="single" w:color="0B2545" w:themeColor="accent3" w:sz="8" w:space="0"/>
          <w:left w:val="single" w:color="0B2545" w:themeColor="accent3" w:sz="8" w:space="0"/>
          <w:bottom w:val="single" w:color="0B2545" w:themeColor="accent3" w:sz="8" w:space="0"/>
          <w:right w:val="single" w:color="0B2545" w:themeColor="accent3" w:sz="8" w:space="0"/>
        </w:tcBorders>
        <w:shd w:val="clear" w:color="auto" w:fill="A3C5F0" w:themeFill="accent3" w:themeFillTint="3F"/>
      </w:tcPr>
    </w:tblStylePr>
    <w:tblStylePr w:type="band1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insideV w:val="single" w:color="0B2545" w:themeColor="accent3" w:sz="8" w:space="0"/>
        </w:tcBorders>
        <w:shd w:val="clear" w:color="auto" w:fill="A3C5F0" w:themeFill="accent3" w:themeFillTint="3F"/>
      </w:tcPr>
    </w:tblStylePr>
    <w:tblStylePr w:type="band2Horz">
      <w:tblPr/>
      <w:tcPr>
        <w:tcBorders>
          <w:top w:val="single" w:color="0B2545" w:themeColor="accent3" w:sz="8" w:space="0"/>
          <w:left w:val="single" w:color="0B2545" w:themeColor="accent3" w:sz="8" w:space="0"/>
          <w:bottom w:val="single" w:color="0B2545" w:themeColor="accent3" w:sz="8" w:space="0"/>
          <w:right w:val="single" w:color="0B2545" w:themeColor="accent3" w:sz="8" w:space="0"/>
          <w:insideV w:val="single" w:color="0B2545"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insideH w:val="single" w:color="0B2545" w:themeColor="accent4" w:sz="8" w:space="0"/>
        <w:insideV w:val="single" w:color="0B254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4" w:sz="8" w:space="0"/>
          <w:left w:val="single" w:color="0B2545" w:themeColor="accent4" w:sz="8" w:space="0"/>
          <w:bottom w:val="single" w:color="0B2545" w:themeColor="accent4" w:sz="18" w:space="0"/>
          <w:right w:val="single" w:color="0B2545" w:themeColor="accent4" w:sz="8" w:space="0"/>
          <w:insideH w:val="nil"/>
          <w:insideV w:val="single" w:color="0B2545"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4" w:sz="6" w:space="0"/>
          <w:left w:val="single" w:color="0B2545" w:themeColor="accent4" w:sz="8" w:space="0"/>
          <w:bottom w:val="single" w:color="0B2545" w:themeColor="accent4" w:sz="8" w:space="0"/>
          <w:right w:val="single" w:color="0B2545" w:themeColor="accent4" w:sz="8" w:space="0"/>
          <w:insideH w:val="nil"/>
          <w:insideV w:val="single" w:color="0B2545"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tcPr>
    </w:tblStylePr>
    <w:tblStylePr w:type="band1Vert">
      <w:tblPr/>
      <w:tcPr>
        <w:tcBorders>
          <w:top w:val="single" w:color="0B2545" w:themeColor="accent4" w:sz="8" w:space="0"/>
          <w:left w:val="single" w:color="0B2545" w:themeColor="accent4" w:sz="8" w:space="0"/>
          <w:bottom w:val="single" w:color="0B2545" w:themeColor="accent4" w:sz="8" w:space="0"/>
          <w:right w:val="single" w:color="0B2545" w:themeColor="accent4" w:sz="8" w:space="0"/>
        </w:tcBorders>
        <w:shd w:val="clear" w:color="auto" w:fill="A3C5F0" w:themeFill="accent4" w:themeFillTint="3F"/>
      </w:tcPr>
    </w:tblStylePr>
    <w:tblStylePr w:type="band1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insideV w:val="single" w:color="0B2545" w:themeColor="accent4" w:sz="8" w:space="0"/>
        </w:tcBorders>
        <w:shd w:val="clear" w:color="auto" w:fill="A3C5F0" w:themeFill="accent4" w:themeFillTint="3F"/>
      </w:tcPr>
    </w:tblStylePr>
    <w:tblStylePr w:type="band2Horz">
      <w:tblPr/>
      <w:tcPr>
        <w:tcBorders>
          <w:top w:val="single" w:color="0B2545" w:themeColor="accent4" w:sz="8" w:space="0"/>
          <w:left w:val="single" w:color="0B2545" w:themeColor="accent4" w:sz="8" w:space="0"/>
          <w:bottom w:val="single" w:color="0B2545" w:themeColor="accent4" w:sz="8" w:space="0"/>
          <w:right w:val="single" w:color="0B2545" w:themeColor="accent4" w:sz="8" w:space="0"/>
          <w:insideV w:val="single" w:color="0B2545"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insideH w:val="single" w:color="0B2545" w:themeColor="accent5" w:sz="8" w:space="0"/>
        <w:insideV w:val="single" w:color="0B254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5" w:sz="8" w:space="0"/>
          <w:left w:val="single" w:color="0B2545" w:themeColor="accent5" w:sz="8" w:space="0"/>
          <w:bottom w:val="single" w:color="0B2545" w:themeColor="accent5" w:sz="18" w:space="0"/>
          <w:right w:val="single" w:color="0B2545" w:themeColor="accent5" w:sz="8" w:space="0"/>
          <w:insideH w:val="nil"/>
          <w:insideV w:val="single" w:color="0B254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5" w:sz="6" w:space="0"/>
          <w:left w:val="single" w:color="0B2545" w:themeColor="accent5" w:sz="8" w:space="0"/>
          <w:bottom w:val="single" w:color="0B2545" w:themeColor="accent5" w:sz="8" w:space="0"/>
          <w:right w:val="single" w:color="0B2545" w:themeColor="accent5" w:sz="8" w:space="0"/>
          <w:insideH w:val="nil"/>
          <w:insideV w:val="single" w:color="0B254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tcPr>
    </w:tblStylePr>
    <w:tblStylePr w:type="band1Vert">
      <w:tblPr/>
      <w:tcPr>
        <w:tcBorders>
          <w:top w:val="single" w:color="0B2545" w:themeColor="accent5" w:sz="8" w:space="0"/>
          <w:left w:val="single" w:color="0B2545" w:themeColor="accent5" w:sz="8" w:space="0"/>
          <w:bottom w:val="single" w:color="0B2545" w:themeColor="accent5" w:sz="8" w:space="0"/>
          <w:right w:val="single" w:color="0B2545" w:themeColor="accent5" w:sz="8" w:space="0"/>
        </w:tcBorders>
        <w:shd w:val="clear" w:color="auto" w:fill="A3C5F0" w:themeFill="accent5" w:themeFillTint="3F"/>
      </w:tcPr>
    </w:tblStylePr>
    <w:tblStylePr w:type="band1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insideV w:val="single" w:color="0B2545" w:themeColor="accent5" w:sz="8" w:space="0"/>
        </w:tcBorders>
        <w:shd w:val="clear" w:color="auto" w:fill="A3C5F0" w:themeFill="accent5" w:themeFillTint="3F"/>
      </w:tcPr>
    </w:tblStylePr>
    <w:tblStylePr w:type="band2Horz">
      <w:tblPr/>
      <w:tcPr>
        <w:tcBorders>
          <w:top w:val="single" w:color="0B2545" w:themeColor="accent5" w:sz="8" w:space="0"/>
          <w:left w:val="single" w:color="0B2545" w:themeColor="accent5" w:sz="8" w:space="0"/>
          <w:bottom w:val="single" w:color="0B2545" w:themeColor="accent5" w:sz="8" w:space="0"/>
          <w:right w:val="single" w:color="0B2545" w:themeColor="accent5" w:sz="8" w:space="0"/>
          <w:insideV w:val="single" w:color="0B2545"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insideH w:val="single" w:color="0B2545" w:themeColor="accent6" w:sz="8" w:space="0"/>
        <w:insideV w:val="single" w:color="0B2545"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B2545" w:themeColor="accent6" w:sz="8" w:space="0"/>
          <w:left w:val="single" w:color="0B2545" w:themeColor="accent6" w:sz="8" w:space="0"/>
          <w:bottom w:val="single" w:color="0B2545" w:themeColor="accent6" w:sz="18" w:space="0"/>
          <w:right w:val="single" w:color="0B2545" w:themeColor="accent6" w:sz="8" w:space="0"/>
          <w:insideH w:val="nil"/>
          <w:insideV w:val="single" w:color="0B2545"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B2545" w:themeColor="accent6" w:sz="6" w:space="0"/>
          <w:left w:val="single" w:color="0B2545" w:themeColor="accent6" w:sz="8" w:space="0"/>
          <w:bottom w:val="single" w:color="0B2545" w:themeColor="accent6" w:sz="8" w:space="0"/>
          <w:right w:val="single" w:color="0B2545" w:themeColor="accent6" w:sz="8" w:space="0"/>
          <w:insideH w:val="nil"/>
          <w:insideV w:val="single" w:color="0B2545"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tcPr>
    </w:tblStylePr>
    <w:tblStylePr w:type="band1Vert">
      <w:tblPr/>
      <w:tcPr>
        <w:tcBorders>
          <w:top w:val="single" w:color="0B2545" w:themeColor="accent6" w:sz="8" w:space="0"/>
          <w:left w:val="single" w:color="0B2545" w:themeColor="accent6" w:sz="8" w:space="0"/>
          <w:bottom w:val="single" w:color="0B2545" w:themeColor="accent6" w:sz="8" w:space="0"/>
          <w:right w:val="single" w:color="0B2545" w:themeColor="accent6" w:sz="8" w:space="0"/>
        </w:tcBorders>
        <w:shd w:val="clear" w:color="auto" w:fill="A3C5F0" w:themeFill="accent6" w:themeFillTint="3F"/>
      </w:tcPr>
    </w:tblStylePr>
    <w:tblStylePr w:type="band1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insideV w:val="single" w:color="0B2545" w:themeColor="accent6" w:sz="8" w:space="0"/>
        </w:tcBorders>
        <w:shd w:val="clear" w:color="auto" w:fill="A3C5F0" w:themeFill="accent6" w:themeFillTint="3F"/>
      </w:tcPr>
    </w:tblStylePr>
    <w:tblStylePr w:type="band2Horz">
      <w:tblPr/>
      <w:tcPr>
        <w:tcBorders>
          <w:top w:val="single" w:color="0B2545" w:themeColor="accent6" w:sz="8" w:space="0"/>
          <w:left w:val="single" w:color="0B2545" w:themeColor="accent6" w:sz="8" w:space="0"/>
          <w:bottom w:val="single" w:color="0B2545" w:themeColor="accent6" w:sz="8" w:space="0"/>
          <w:right w:val="single" w:color="0B2545" w:themeColor="accent6" w:sz="8" w:space="0"/>
          <w:insideV w:val="single" w:color="0B2545"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single" w:color="1956A1" w:themeColor="accent1" w:themeTint="BF" w:sz="8" w:space="0"/>
      </w:tblBorders>
    </w:tblPr>
    <w:tblStylePr w:type="firstRow">
      <w:pPr>
        <w:spacing w:before="0" w:after="0" w:line="240" w:lineRule="auto"/>
      </w:pPr>
      <w:rPr>
        <w:b/>
        <w:bCs/>
        <w:color w:val="FFFFFF" w:themeColor="background1"/>
      </w:rPr>
      <w:tblPr/>
      <w:tcPr>
        <w:tc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nil"/>
          <w:insideV w:val="nil"/>
        </w:tcBorders>
        <w:shd w:val="clear" w:color="auto" w:fill="0B2545" w:themeFill="accent1"/>
      </w:tcPr>
    </w:tblStylePr>
    <w:tblStylePr w:type="lastRow">
      <w:pPr>
        <w:spacing w:before="0" w:after="0" w:line="240" w:lineRule="auto"/>
      </w:pPr>
      <w:rPr>
        <w:b/>
        <w:bCs/>
      </w:rPr>
      <w:tblPr/>
      <w:tcPr>
        <w:tcBorders>
          <w:top w:val="double" w:color="1956A1" w:themeColor="accent1" w:themeTint="BF" w:sz="6" w:space="0"/>
          <w:left w:val="single" w:color="1956A1" w:themeColor="accent1" w:themeTint="BF" w:sz="8" w:space="0"/>
          <w:bottom w:val="single" w:color="1956A1" w:themeColor="accent1" w:themeTint="BF" w:sz="8" w:space="0"/>
          <w:right w:val="single" w:color="1956A1"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1" w:themeFillTint="3F"/>
      </w:tcPr>
    </w:tblStylePr>
    <w:tblStylePr w:type="band1Horz">
      <w:tblPr/>
      <w:tcPr>
        <w:tcBorders>
          <w:insideH w:val="nil"/>
          <w:insideV w:val="nil"/>
        </w:tcBorders>
        <w:shd w:val="clear" w:color="auto" w:fill="A3C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7E8FA2" w:themeColor="accent2" w:themeTint="BF" w:sz="8" w:space="0"/>
        <w:left w:val="single" w:color="7E8FA2" w:themeColor="accent2" w:themeTint="BF" w:sz="8" w:space="0"/>
        <w:bottom w:val="single" w:color="7E8FA2" w:themeColor="accent2" w:themeTint="BF" w:sz="8" w:space="0"/>
        <w:right w:val="single" w:color="7E8FA2" w:themeColor="accent2" w:themeTint="BF" w:sz="8" w:space="0"/>
        <w:insideH w:val="single" w:color="7E8FA2" w:themeColor="accent2" w:themeTint="BF" w:sz="8" w:space="0"/>
      </w:tblBorders>
    </w:tblPr>
    <w:tblStylePr w:type="firstRow">
      <w:pPr>
        <w:spacing w:before="0" w:after="0" w:line="240" w:lineRule="auto"/>
      </w:pPr>
      <w:rPr>
        <w:b/>
        <w:bCs/>
        <w:color w:val="FFFFFF" w:themeColor="background1"/>
      </w:rPr>
      <w:tblPr/>
      <w:tcPr>
        <w:tcBorders>
          <w:top w:val="single" w:color="7E8FA2" w:themeColor="accent2" w:themeTint="BF" w:sz="8" w:space="0"/>
          <w:left w:val="single" w:color="7E8FA2" w:themeColor="accent2" w:themeTint="BF" w:sz="8" w:space="0"/>
          <w:bottom w:val="single" w:color="7E8FA2" w:themeColor="accent2" w:themeTint="BF" w:sz="8" w:space="0"/>
          <w:right w:val="single" w:color="7E8FA2" w:themeColor="accent2" w:themeTint="BF" w:sz="8" w:space="0"/>
          <w:insideH w:val="nil"/>
          <w:insideV w:val="nil"/>
        </w:tcBorders>
        <w:shd w:val="clear" w:color="auto" w:fill="5A6B7D" w:themeFill="accent2"/>
      </w:tcPr>
    </w:tblStylePr>
    <w:tblStylePr w:type="lastRow">
      <w:pPr>
        <w:spacing w:before="0" w:after="0" w:line="240" w:lineRule="auto"/>
      </w:pPr>
      <w:rPr>
        <w:b/>
        <w:bCs/>
      </w:rPr>
      <w:tblPr/>
      <w:tcPr>
        <w:tcBorders>
          <w:top w:val="double" w:color="7E8FA2" w:themeColor="accent2" w:themeTint="BF" w:sz="6" w:space="0"/>
          <w:left w:val="single" w:color="7E8FA2" w:themeColor="accent2" w:themeTint="BF" w:sz="8" w:space="0"/>
          <w:bottom w:val="single" w:color="7E8FA2" w:themeColor="accent2" w:themeTint="BF" w:sz="8" w:space="0"/>
          <w:right w:val="single" w:color="7E8FA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4DAE0" w:themeFill="accent2" w:themeFillTint="3F"/>
      </w:tcPr>
    </w:tblStylePr>
    <w:tblStylePr w:type="band1Horz">
      <w:tblPr/>
      <w:tcPr>
        <w:tcBorders>
          <w:insideH w:val="nil"/>
          <w:insideV w:val="nil"/>
        </w:tcBorders>
        <w:shd w:val="clear" w:color="auto" w:fill="D4DAE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single" w:color="1956A1" w:themeColor="accent3" w:themeTint="BF" w:sz="8" w:space="0"/>
      </w:tblBorders>
    </w:tblPr>
    <w:tblStylePr w:type="firstRow">
      <w:pPr>
        <w:spacing w:before="0" w:after="0" w:line="240" w:lineRule="auto"/>
      </w:pPr>
      <w:rPr>
        <w:b/>
        <w:bCs/>
        <w:color w:val="FFFFFF" w:themeColor="background1"/>
      </w:rPr>
      <w:tblPr/>
      <w:tcPr>
        <w:tc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nil"/>
          <w:insideV w:val="nil"/>
        </w:tcBorders>
        <w:shd w:val="clear" w:color="auto" w:fill="0B2545" w:themeFill="accent3"/>
      </w:tcPr>
    </w:tblStylePr>
    <w:tblStylePr w:type="lastRow">
      <w:pPr>
        <w:spacing w:before="0" w:after="0" w:line="240" w:lineRule="auto"/>
      </w:pPr>
      <w:rPr>
        <w:b/>
        <w:bCs/>
      </w:rPr>
      <w:tblPr/>
      <w:tcPr>
        <w:tcBorders>
          <w:top w:val="double" w:color="1956A1" w:themeColor="accent3" w:themeTint="BF" w:sz="6" w:space="0"/>
          <w:left w:val="single" w:color="1956A1" w:themeColor="accent3" w:themeTint="BF" w:sz="8" w:space="0"/>
          <w:bottom w:val="single" w:color="1956A1" w:themeColor="accent3" w:themeTint="BF" w:sz="8" w:space="0"/>
          <w:right w:val="single" w:color="1956A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3" w:themeFillTint="3F"/>
      </w:tcPr>
    </w:tblStylePr>
    <w:tblStylePr w:type="band1Horz">
      <w:tblPr/>
      <w:tcPr>
        <w:tcBorders>
          <w:insideH w:val="nil"/>
          <w:insideV w:val="nil"/>
        </w:tcBorders>
        <w:shd w:val="clear" w:color="auto" w:fill="A3C5F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single" w:color="1956A1" w:themeColor="accent4" w:themeTint="BF" w:sz="8" w:space="0"/>
      </w:tblBorders>
    </w:tblPr>
    <w:tblStylePr w:type="firstRow">
      <w:pPr>
        <w:spacing w:before="0" w:after="0" w:line="240" w:lineRule="auto"/>
      </w:pPr>
      <w:rPr>
        <w:b/>
        <w:bCs/>
        <w:color w:val="FFFFFF" w:themeColor="background1"/>
      </w:rPr>
      <w:tblPr/>
      <w:tcPr>
        <w:tc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nil"/>
          <w:insideV w:val="nil"/>
        </w:tcBorders>
        <w:shd w:val="clear" w:color="auto" w:fill="0B2545" w:themeFill="accent4"/>
      </w:tcPr>
    </w:tblStylePr>
    <w:tblStylePr w:type="lastRow">
      <w:pPr>
        <w:spacing w:before="0" w:after="0" w:line="240" w:lineRule="auto"/>
      </w:pPr>
      <w:rPr>
        <w:b/>
        <w:bCs/>
      </w:rPr>
      <w:tblPr/>
      <w:tcPr>
        <w:tcBorders>
          <w:top w:val="double" w:color="1956A1" w:themeColor="accent4" w:themeTint="BF" w:sz="6" w:space="0"/>
          <w:left w:val="single" w:color="1956A1" w:themeColor="accent4" w:themeTint="BF" w:sz="8" w:space="0"/>
          <w:bottom w:val="single" w:color="1956A1" w:themeColor="accent4" w:themeTint="BF" w:sz="8" w:space="0"/>
          <w:right w:val="single" w:color="1956A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4" w:themeFillTint="3F"/>
      </w:tcPr>
    </w:tblStylePr>
    <w:tblStylePr w:type="band1Horz">
      <w:tblPr/>
      <w:tcPr>
        <w:tcBorders>
          <w:insideH w:val="nil"/>
          <w:insideV w:val="nil"/>
        </w:tcBorders>
        <w:shd w:val="clear" w:color="auto" w:fill="A3C5F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single" w:color="1956A1" w:themeColor="accent5" w:themeTint="BF" w:sz="8" w:space="0"/>
      </w:tblBorders>
    </w:tblPr>
    <w:tblStylePr w:type="firstRow">
      <w:pPr>
        <w:spacing w:before="0" w:after="0" w:line="240" w:lineRule="auto"/>
      </w:pPr>
      <w:rPr>
        <w:b/>
        <w:bCs/>
        <w:color w:val="FFFFFF" w:themeColor="background1"/>
      </w:rPr>
      <w:tblPr/>
      <w:tcPr>
        <w:tc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nil"/>
          <w:insideV w:val="nil"/>
        </w:tcBorders>
        <w:shd w:val="clear" w:color="auto" w:fill="0B2545" w:themeFill="accent5"/>
      </w:tcPr>
    </w:tblStylePr>
    <w:tblStylePr w:type="lastRow">
      <w:pPr>
        <w:spacing w:before="0" w:after="0" w:line="240" w:lineRule="auto"/>
      </w:pPr>
      <w:rPr>
        <w:b/>
        <w:bCs/>
      </w:rPr>
      <w:tblPr/>
      <w:tcPr>
        <w:tcBorders>
          <w:top w:val="double" w:color="1956A1" w:themeColor="accent5" w:themeTint="BF" w:sz="6" w:space="0"/>
          <w:left w:val="single" w:color="1956A1" w:themeColor="accent5" w:themeTint="BF" w:sz="8" w:space="0"/>
          <w:bottom w:val="single" w:color="1956A1" w:themeColor="accent5" w:themeTint="BF" w:sz="8" w:space="0"/>
          <w:right w:val="single" w:color="1956A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5" w:themeFillTint="3F"/>
      </w:tcPr>
    </w:tblStylePr>
    <w:tblStylePr w:type="band1Horz">
      <w:tblPr/>
      <w:tcPr>
        <w:tcBorders>
          <w:insideH w:val="nil"/>
          <w:insideV w:val="nil"/>
        </w:tcBorders>
        <w:shd w:val="clear" w:color="auto" w:fill="A3C5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single" w:color="1956A1" w:themeColor="accent6" w:themeTint="BF" w:sz="8" w:space="0"/>
      </w:tblBorders>
    </w:tblPr>
    <w:tblStylePr w:type="firstRow">
      <w:pPr>
        <w:spacing w:before="0" w:after="0" w:line="240" w:lineRule="auto"/>
      </w:pPr>
      <w:rPr>
        <w:b/>
        <w:bCs/>
        <w:color w:val="FFFFFF" w:themeColor="background1"/>
      </w:rPr>
      <w:tblPr/>
      <w:tcPr>
        <w:tc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nil"/>
          <w:insideV w:val="nil"/>
        </w:tcBorders>
        <w:shd w:val="clear" w:color="auto" w:fill="0B2545" w:themeFill="accent6"/>
      </w:tcPr>
    </w:tblStylePr>
    <w:tblStylePr w:type="lastRow">
      <w:pPr>
        <w:spacing w:before="0" w:after="0" w:line="240" w:lineRule="auto"/>
      </w:pPr>
      <w:rPr>
        <w:b/>
        <w:bCs/>
      </w:rPr>
      <w:tblPr/>
      <w:tcPr>
        <w:tcBorders>
          <w:top w:val="double" w:color="1956A1" w:themeColor="accent6" w:themeTint="BF" w:sz="6" w:space="0"/>
          <w:left w:val="single" w:color="1956A1" w:themeColor="accent6" w:themeTint="BF" w:sz="8" w:space="0"/>
          <w:bottom w:val="single" w:color="1956A1" w:themeColor="accent6" w:themeTint="BF" w:sz="8" w:space="0"/>
          <w:right w:val="single" w:color="1956A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A3C5F0" w:themeFill="accent6" w:themeFillTint="3F"/>
      </w:tcPr>
    </w:tblStylePr>
    <w:tblStylePr w:type="band1Horz">
      <w:tblPr/>
      <w:tcPr>
        <w:tcBorders>
          <w:insideH w:val="nil"/>
          <w:insideV w:val="nil"/>
        </w:tcBorders>
        <w:shd w:val="clear" w:color="auto" w:fill="A3C5F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1"/>
      </w:tcPr>
    </w:tblStylePr>
    <w:tblStylePr w:type="lastCol">
      <w:rPr>
        <w:b/>
        <w:bCs/>
        <w:color w:val="FFFFFF" w:themeColor="background1"/>
      </w:rPr>
      <w:tblPr/>
      <w:tcPr>
        <w:tcBorders>
          <w:left w:val="nil"/>
          <w:right w:val="nil"/>
          <w:insideH w:val="nil"/>
          <w:insideV w:val="nil"/>
        </w:tcBorders>
        <w:shd w:val="clear" w:color="auto" w:fill="0B254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A6B7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A6B7D" w:themeFill="accent2"/>
      </w:tcPr>
    </w:tblStylePr>
    <w:tblStylePr w:type="lastCol">
      <w:rPr>
        <w:b/>
        <w:bCs/>
        <w:color w:val="FFFFFF" w:themeColor="background1"/>
      </w:rPr>
      <w:tblPr/>
      <w:tcPr>
        <w:tcBorders>
          <w:left w:val="nil"/>
          <w:right w:val="nil"/>
          <w:insideH w:val="nil"/>
          <w:insideV w:val="nil"/>
        </w:tcBorders>
        <w:shd w:val="clear" w:color="auto" w:fill="5A6B7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3"/>
      </w:tcPr>
    </w:tblStylePr>
    <w:tblStylePr w:type="lastCol">
      <w:rPr>
        <w:b/>
        <w:bCs/>
        <w:color w:val="FFFFFF" w:themeColor="background1"/>
      </w:rPr>
      <w:tblPr/>
      <w:tcPr>
        <w:tcBorders>
          <w:left w:val="nil"/>
          <w:right w:val="nil"/>
          <w:insideH w:val="nil"/>
          <w:insideV w:val="nil"/>
        </w:tcBorders>
        <w:shd w:val="clear" w:color="auto" w:fill="0B254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4"/>
      </w:tcPr>
    </w:tblStylePr>
    <w:tblStylePr w:type="lastCol">
      <w:rPr>
        <w:b/>
        <w:bCs/>
        <w:color w:val="FFFFFF" w:themeColor="background1"/>
      </w:rPr>
      <w:tblPr/>
      <w:tcPr>
        <w:tcBorders>
          <w:left w:val="nil"/>
          <w:right w:val="nil"/>
          <w:insideH w:val="nil"/>
          <w:insideV w:val="nil"/>
        </w:tcBorders>
        <w:shd w:val="clear" w:color="auto" w:fill="0B25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5"/>
      </w:tcPr>
    </w:tblStylePr>
    <w:tblStylePr w:type="lastCol">
      <w:rPr>
        <w:b/>
        <w:bCs/>
        <w:color w:val="FFFFFF" w:themeColor="background1"/>
      </w:rPr>
      <w:tblPr/>
      <w:tcPr>
        <w:tcBorders>
          <w:left w:val="nil"/>
          <w:right w:val="nil"/>
          <w:insideH w:val="nil"/>
          <w:insideV w:val="nil"/>
        </w:tcBorders>
        <w:shd w:val="clear" w:color="auto" w:fill="0B254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B2545"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B2545" w:themeFill="accent6"/>
      </w:tcPr>
    </w:tblStylePr>
    <w:tblStylePr w:type="lastCol">
      <w:rPr>
        <w:b/>
        <w:bCs/>
        <w:color w:val="FFFFFF" w:themeColor="background1"/>
      </w:rPr>
      <w:tblPr/>
      <w:tcPr>
        <w:tcBorders>
          <w:left w:val="nil"/>
          <w:right w:val="nil"/>
          <w:insideH w:val="nil"/>
          <w:insideV w:val="nil"/>
        </w:tcBorders>
        <w:shd w:val="clear" w:color="auto" w:fill="0B254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0B2545"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0B2545" w:themeColor="accent1" w:sz="8" w:space="0"/>
        <w:bottom w:val="single" w:color="0B2545" w:themeColor="accent1" w:sz="8" w:space="0"/>
      </w:tblBorders>
    </w:tblPr>
    <w:tblStylePr w:type="firstRow">
      <w:rPr>
        <w:rFonts w:asciiTheme="majorHAnsi" w:hAnsiTheme="majorHAnsi" w:eastAsiaTheme="majorEastAsia" w:cstheme="majorBidi"/>
      </w:rPr>
      <w:tblPr/>
      <w:tcPr>
        <w:tcBorders>
          <w:top w:val="nil"/>
          <w:bottom w:val="single" w:color="0B2545" w:themeColor="accent1" w:sz="8" w:space="0"/>
        </w:tcBorders>
      </w:tcPr>
    </w:tblStylePr>
    <w:tblStylePr w:type="lastRow">
      <w:rPr>
        <w:b/>
        <w:bCs/>
        <w:color w:val="0B2545" w:themeColor="text2"/>
      </w:rPr>
      <w:tblPr/>
      <w:tcPr>
        <w:tcBorders>
          <w:top w:val="single" w:color="0B2545" w:themeColor="accent1" w:sz="8" w:space="0"/>
          <w:bottom w:val="single" w:color="0B2545" w:themeColor="accent1" w:sz="8" w:space="0"/>
        </w:tcBorders>
      </w:tcPr>
    </w:tblStylePr>
    <w:tblStylePr w:type="firstCol">
      <w:rPr>
        <w:b/>
        <w:bCs/>
      </w:rPr>
    </w:tblStylePr>
    <w:tblStylePr w:type="lastCol">
      <w:rPr>
        <w:b/>
        <w:bCs/>
      </w:rPr>
      <w:tblPr/>
      <w:tcPr>
        <w:tcBorders>
          <w:top w:val="single" w:color="0B2545" w:themeColor="accent1" w:sz="8" w:space="0"/>
          <w:bottom w:val="single" w:color="0B2545" w:themeColor="accent1" w:sz="8" w:space="0"/>
        </w:tcBorders>
      </w:tcPr>
    </w:tblStylePr>
    <w:tblStylePr w:type="band1Vert">
      <w:tblPr/>
      <w:tcPr>
        <w:shd w:val="clear" w:color="auto" w:fill="A3C5F0" w:themeFill="accent1" w:themeFillTint="3F"/>
      </w:tcPr>
    </w:tblStylePr>
    <w:tblStylePr w:type="band1Horz">
      <w:tblPr/>
      <w:tcPr>
        <w:shd w:val="clear" w:color="auto" w:fill="A3C5F0"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A6B7D" w:themeColor="accent2" w:sz="8" w:space="0"/>
        <w:bottom w:val="single" w:color="5A6B7D" w:themeColor="accent2" w:sz="8" w:space="0"/>
      </w:tblBorders>
    </w:tblPr>
    <w:tblStylePr w:type="firstRow">
      <w:rPr>
        <w:rFonts w:asciiTheme="majorHAnsi" w:hAnsiTheme="majorHAnsi" w:eastAsiaTheme="majorEastAsia" w:cstheme="majorBidi"/>
      </w:rPr>
      <w:tblPr/>
      <w:tcPr>
        <w:tcBorders>
          <w:top w:val="nil"/>
          <w:bottom w:val="single" w:color="5A6B7D" w:themeColor="accent2" w:sz="8" w:space="0"/>
        </w:tcBorders>
      </w:tcPr>
    </w:tblStylePr>
    <w:tblStylePr w:type="lastRow">
      <w:rPr>
        <w:b/>
        <w:bCs/>
        <w:color w:val="0B2545" w:themeColor="text2"/>
      </w:rPr>
      <w:tblPr/>
      <w:tcPr>
        <w:tcBorders>
          <w:top w:val="single" w:color="5A6B7D" w:themeColor="accent2" w:sz="8" w:space="0"/>
          <w:bottom w:val="single" w:color="5A6B7D" w:themeColor="accent2" w:sz="8" w:space="0"/>
        </w:tcBorders>
      </w:tcPr>
    </w:tblStylePr>
    <w:tblStylePr w:type="firstCol">
      <w:rPr>
        <w:b/>
        <w:bCs/>
      </w:rPr>
    </w:tblStylePr>
    <w:tblStylePr w:type="lastCol">
      <w:rPr>
        <w:b/>
        <w:bCs/>
      </w:rPr>
      <w:tblPr/>
      <w:tcPr>
        <w:tcBorders>
          <w:top w:val="single" w:color="5A6B7D" w:themeColor="accent2" w:sz="8" w:space="0"/>
          <w:bottom w:val="single" w:color="5A6B7D" w:themeColor="accent2" w:sz="8" w:space="0"/>
        </w:tcBorders>
      </w:tcPr>
    </w:tblStylePr>
    <w:tblStylePr w:type="band1Vert">
      <w:tblPr/>
      <w:tcPr>
        <w:shd w:val="clear" w:color="auto" w:fill="D4DAE0" w:themeFill="accent2" w:themeFillTint="3F"/>
      </w:tcPr>
    </w:tblStylePr>
    <w:tblStylePr w:type="band1Horz">
      <w:tblPr/>
      <w:tcPr>
        <w:shd w:val="clear" w:color="auto" w:fill="D4DAE0"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0B2545" w:themeColor="accent3" w:sz="8" w:space="0"/>
        <w:bottom w:val="single" w:color="0B2545" w:themeColor="accent3" w:sz="8" w:space="0"/>
      </w:tblBorders>
    </w:tblPr>
    <w:tblStylePr w:type="firstRow">
      <w:rPr>
        <w:rFonts w:asciiTheme="majorHAnsi" w:hAnsiTheme="majorHAnsi" w:eastAsiaTheme="majorEastAsia" w:cstheme="majorBidi"/>
      </w:rPr>
      <w:tblPr/>
      <w:tcPr>
        <w:tcBorders>
          <w:top w:val="nil"/>
          <w:bottom w:val="single" w:color="0B2545" w:themeColor="accent3" w:sz="8" w:space="0"/>
        </w:tcBorders>
      </w:tcPr>
    </w:tblStylePr>
    <w:tblStylePr w:type="lastRow">
      <w:rPr>
        <w:b/>
        <w:bCs/>
        <w:color w:val="0B2545" w:themeColor="text2"/>
      </w:rPr>
      <w:tblPr/>
      <w:tcPr>
        <w:tcBorders>
          <w:top w:val="single" w:color="0B2545" w:themeColor="accent3" w:sz="8" w:space="0"/>
          <w:bottom w:val="single" w:color="0B2545" w:themeColor="accent3" w:sz="8" w:space="0"/>
        </w:tcBorders>
      </w:tcPr>
    </w:tblStylePr>
    <w:tblStylePr w:type="firstCol">
      <w:rPr>
        <w:b/>
        <w:bCs/>
      </w:rPr>
    </w:tblStylePr>
    <w:tblStylePr w:type="lastCol">
      <w:rPr>
        <w:b/>
        <w:bCs/>
      </w:rPr>
      <w:tblPr/>
      <w:tcPr>
        <w:tcBorders>
          <w:top w:val="single" w:color="0B2545" w:themeColor="accent3" w:sz="8" w:space="0"/>
          <w:bottom w:val="single" w:color="0B2545" w:themeColor="accent3" w:sz="8" w:space="0"/>
        </w:tcBorders>
      </w:tcPr>
    </w:tblStylePr>
    <w:tblStylePr w:type="band1Vert">
      <w:tblPr/>
      <w:tcPr>
        <w:shd w:val="clear" w:color="auto" w:fill="A3C5F0" w:themeFill="accent3" w:themeFillTint="3F"/>
      </w:tcPr>
    </w:tblStylePr>
    <w:tblStylePr w:type="band1Horz">
      <w:tblPr/>
      <w:tcPr>
        <w:shd w:val="clear" w:color="auto" w:fill="A3C5F0"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0B2545" w:themeColor="accent4" w:sz="8" w:space="0"/>
        <w:bottom w:val="single" w:color="0B2545" w:themeColor="accent4" w:sz="8" w:space="0"/>
      </w:tblBorders>
    </w:tblPr>
    <w:tblStylePr w:type="firstRow">
      <w:rPr>
        <w:rFonts w:asciiTheme="majorHAnsi" w:hAnsiTheme="majorHAnsi" w:eastAsiaTheme="majorEastAsia" w:cstheme="majorBidi"/>
      </w:rPr>
      <w:tblPr/>
      <w:tcPr>
        <w:tcBorders>
          <w:top w:val="nil"/>
          <w:bottom w:val="single" w:color="0B2545" w:themeColor="accent4" w:sz="8" w:space="0"/>
        </w:tcBorders>
      </w:tcPr>
    </w:tblStylePr>
    <w:tblStylePr w:type="lastRow">
      <w:rPr>
        <w:b/>
        <w:bCs/>
        <w:color w:val="0B2545" w:themeColor="text2"/>
      </w:rPr>
      <w:tblPr/>
      <w:tcPr>
        <w:tcBorders>
          <w:top w:val="single" w:color="0B2545" w:themeColor="accent4" w:sz="8" w:space="0"/>
          <w:bottom w:val="single" w:color="0B2545" w:themeColor="accent4" w:sz="8" w:space="0"/>
        </w:tcBorders>
      </w:tcPr>
    </w:tblStylePr>
    <w:tblStylePr w:type="firstCol">
      <w:rPr>
        <w:b/>
        <w:bCs/>
      </w:rPr>
    </w:tblStylePr>
    <w:tblStylePr w:type="lastCol">
      <w:rPr>
        <w:b/>
        <w:bCs/>
      </w:rPr>
      <w:tblPr/>
      <w:tcPr>
        <w:tcBorders>
          <w:top w:val="single" w:color="0B2545" w:themeColor="accent4" w:sz="8" w:space="0"/>
          <w:bottom w:val="single" w:color="0B2545" w:themeColor="accent4" w:sz="8" w:space="0"/>
        </w:tcBorders>
      </w:tcPr>
    </w:tblStylePr>
    <w:tblStylePr w:type="band1Vert">
      <w:tblPr/>
      <w:tcPr>
        <w:shd w:val="clear" w:color="auto" w:fill="A3C5F0" w:themeFill="accent4" w:themeFillTint="3F"/>
      </w:tcPr>
    </w:tblStylePr>
    <w:tblStylePr w:type="band1Horz">
      <w:tblPr/>
      <w:tcPr>
        <w:shd w:val="clear" w:color="auto" w:fill="A3C5F0"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0B2545" w:themeColor="accent5" w:sz="8" w:space="0"/>
        <w:bottom w:val="single" w:color="0B2545" w:themeColor="accent5" w:sz="8" w:space="0"/>
      </w:tblBorders>
    </w:tblPr>
    <w:tblStylePr w:type="firstRow">
      <w:rPr>
        <w:rFonts w:asciiTheme="majorHAnsi" w:hAnsiTheme="majorHAnsi" w:eastAsiaTheme="majorEastAsia" w:cstheme="majorBidi"/>
      </w:rPr>
      <w:tblPr/>
      <w:tcPr>
        <w:tcBorders>
          <w:top w:val="nil"/>
          <w:bottom w:val="single" w:color="0B2545" w:themeColor="accent5" w:sz="8" w:space="0"/>
        </w:tcBorders>
      </w:tcPr>
    </w:tblStylePr>
    <w:tblStylePr w:type="lastRow">
      <w:rPr>
        <w:b/>
        <w:bCs/>
        <w:color w:val="0B2545" w:themeColor="text2"/>
      </w:rPr>
      <w:tblPr/>
      <w:tcPr>
        <w:tcBorders>
          <w:top w:val="single" w:color="0B2545" w:themeColor="accent5" w:sz="8" w:space="0"/>
          <w:bottom w:val="single" w:color="0B2545" w:themeColor="accent5" w:sz="8" w:space="0"/>
        </w:tcBorders>
      </w:tcPr>
    </w:tblStylePr>
    <w:tblStylePr w:type="firstCol">
      <w:rPr>
        <w:b/>
        <w:bCs/>
      </w:rPr>
    </w:tblStylePr>
    <w:tblStylePr w:type="lastCol">
      <w:rPr>
        <w:b/>
        <w:bCs/>
      </w:rPr>
      <w:tblPr/>
      <w:tcPr>
        <w:tcBorders>
          <w:top w:val="single" w:color="0B2545" w:themeColor="accent5" w:sz="8" w:space="0"/>
          <w:bottom w:val="single" w:color="0B2545" w:themeColor="accent5" w:sz="8" w:space="0"/>
        </w:tcBorders>
      </w:tcPr>
    </w:tblStylePr>
    <w:tblStylePr w:type="band1Vert">
      <w:tblPr/>
      <w:tcPr>
        <w:shd w:val="clear" w:color="auto" w:fill="A3C5F0" w:themeFill="accent5" w:themeFillTint="3F"/>
      </w:tcPr>
    </w:tblStylePr>
    <w:tblStylePr w:type="band1Horz">
      <w:tblPr/>
      <w:tcPr>
        <w:shd w:val="clear" w:color="auto" w:fill="A3C5F0"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0B2545" w:themeColor="accent6" w:sz="8" w:space="0"/>
        <w:bottom w:val="single" w:color="0B2545" w:themeColor="accent6" w:sz="8" w:space="0"/>
      </w:tblBorders>
    </w:tblPr>
    <w:tblStylePr w:type="firstRow">
      <w:rPr>
        <w:rFonts w:asciiTheme="majorHAnsi" w:hAnsiTheme="majorHAnsi" w:eastAsiaTheme="majorEastAsia" w:cstheme="majorBidi"/>
      </w:rPr>
      <w:tblPr/>
      <w:tcPr>
        <w:tcBorders>
          <w:top w:val="nil"/>
          <w:bottom w:val="single" w:color="0B2545" w:themeColor="accent6" w:sz="8" w:space="0"/>
        </w:tcBorders>
      </w:tcPr>
    </w:tblStylePr>
    <w:tblStylePr w:type="lastRow">
      <w:rPr>
        <w:b/>
        <w:bCs/>
        <w:color w:val="0B2545" w:themeColor="text2"/>
      </w:rPr>
      <w:tblPr/>
      <w:tcPr>
        <w:tcBorders>
          <w:top w:val="single" w:color="0B2545" w:themeColor="accent6" w:sz="8" w:space="0"/>
          <w:bottom w:val="single" w:color="0B2545" w:themeColor="accent6" w:sz="8" w:space="0"/>
        </w:tcBorders>
      </w:tcPr>
    </w:tblStylePr>
    <w:tblStylePr w:type="firstCol">
      <w:rPr>
        <w:b/>
        <w:bCs/>
      </w:rPr>
    </w:tblStylePr>
    <w:tblStylePr w:type="lastCol">
      <w:rPr>
        <w:b/>
        <w:bCs/>
      </w:rPr>
      <w:tblPr/>
      <w:tcPr>
        <w:tcBorders>
          <w:top w:val="single" w:color="0B2545" w:themeColor="accent6" w:sz="8" w:space="0"/>
          <w:bottom w:val="single" w:color="0B2545" w:themeColor="accent6" w:sz="8" w:space="0"/>
        </w:tcBorders>
      </w:tcPr>
    </w:tblStylePr>
    <w:tblStylePr w:type="band1Vert">
      <w:tblPr/>
      <w:tcPr>
        <w:shd w:val="clear" w:color="auto" w:fill="A3C5F0" w:themeFill="accent6" w:themeFillTint="3F"/>
      </w:tcPr>
    </w:tblStylePr>
    <w:tblStylePr w:type="band1Horz">
      <w:tblPr/>
      <w:tcPr>
        <w:shd w:val="clear" w:color="auto" w:fill="A3C5F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tblBorders>
    </w:tblPr>
    <w:tblStylePr w:type="firstRow">
      <w:rPr>
        <w:sz w:val="24"/>
        <w:szCs w:val="24"/>
      </w:rPr>
      <w:tblPr/>
      <w:tcPr>
        <w:tcBorders>
          <w:top w:val="nil"/>
          <w:left w:val="nil"/>
          <w:bottom w:val="single" w:color="0B2545" w:themeColor="accent1" w:sz="24" w:space="0"/>
          <w:right w:val="nil"/>
          <w:insideH w:val="nil"/>
          <w:insideV w:val="nil"/>
        </w:tcBorders>
        <w:shd w:val="clear" w:color="auto" w:fill="FFFFFF" w:themeFill="background1"/>
      </w:tcPr>
    </w:tblStylePr>
    <w:tblStylePr w:type="lastRow">
      <w:tblPr/>
      <w:tcPr>
        <w:tcBorders>
          <w:top w:val="single" w:color="0B2545"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1" w:sz="8" w:space="0"/>
          <w:insideH w:val="nil"/>
          <w:insideV w:val="nil"/>
        </w:tcBorders>
        <w:shd w:val="clear" w:color="auto" w:fill="FFFFFF" w:themeFill="background1"/>
      </w:tcPr>
    </w:tblStylePr>
    <w:tblStylePr w:type="lastCol">
      <w:tblPr/>
      <w:tcPr>
        <w:tcBorders>
          <w:top w:val="nil"/>
          <w:left w:val="single" w:color="0B254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1" w:themeFillTint="3F"/>
      </w:tcPr>
    </w:tblStylePr>
    <w:tblStylePr w:type="band1Horz">
      <w:tblPr/>
      <w:tcPr>
        <w:tcBorders>
          <w:top w:val="nil"/>
          <w:bottom w:val="nil"/>
          <w:insideH w:val="nil"/>
          <w:insideV w:val="nil"/>
        </w:tcBorders>
        <w:shd w:val="clear" w:color="auto" w:fill="A3C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A6B7D" w:themeColor="accent2" w:sz="8" w:space="0"/>
        <w:left w:val="single" w:color="5A6B7D" w:themeColor="accent2" w:sz="8" w:space="0"/>
        <w:bottom w:val="single" w:color="5A6B7D" w:themeColor="accent2" w:sz="8" w:space="0"/>
        <w:right w:val="single" w:color="5A6B7D" w:themeColor="accent2" w:sz="8" w:space="0"/>
      </w:tblBorders>
    </w:tblPr>
    <w:tblStylePr w:type="firstRow">
      <w:rPr>
        <w:sz w:val="24"/>
        <w:szCs w:val="24"/>
      </w:rPr>
      <w:tblPr/>
      <w:tcPr>
        <w:tcBorders>
          <w:top w:val="nil"/>
          <w:left w:val="nil"/>
          <w:bottom w:val="single" w:color="5A6B7D" w:themeColor="accent2" w:sz="24" w:space="0"/>
          <w:right w:val="nil"/>
          <w:insideH w:val="nil"/>
          <w:insideV w:val="nil"/>
        </w:tcBorders>
        <w:shd w:val="clear" w:color="auto" w:fill="FFFFFF" w:themeFill="background1"/>
      </w:tcPr>
    </w:tblStylePr>
    <w:tblStylePr w:type="lastRow">
      <w:tblPr/>
      <w:tcPr>
        <w:tcBorders>
          <w:top w:val="single" w:color="5A6B7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A6B7D" w:themeColor="accent2" w:sz="8" w:space="0"/>
          <w:insideH w:val="nil"/>
          <w:insideV w:val="nil"/>
        </w:tcBorders>
        <w:shd w:val="clear" w:color="auto" w:fill="FFFFFF" w:themeFill="background1"/>
      </w:tcPr>
    </w:tblStylePr>
    <w:tblStylePr w:type="lastCol">
      <w:tblPr/>
      <w:tcPr>
        <w:tcBorders>
          <w:top w:val="nil"/>
          <w:left w:val="single" w:color="5A6B7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DAE0" w:themeFill="accent2" w:themeFillTint="3F"/>
      </w:tcPr>
    </w:tblStylePr>
    <w:tblStylePr w:type="band1Horz">
      <w:tblPr/>
      <w:tcPr>
        <w:tcBorders>
          <w:top w:val="nil"/>
          <w:bottom w:val="nil"/>
          <w:insideH w:val="nil"/>
          <w:insideV w:val="nil"/>
        </w:tcBorders>
        <w:shd w:val="clear" w:color="auto" w:fill="D4DAE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tblBorders>
    </w:tblPr>
    <w:tblStylePr w:type="firstRow">
      <w:rPr>
        <w:sz w:val="24"/>
        <w:szCs w:val="24"/>
      </w:rPr>
      <w:tblPr/>
      <w:tcPr>
        <w:tcBorders>
          <w:top w:val="nil"/>
          <w:left w:val="nil"/>
          <w:bottom w:val="single" w:color="0B2545" w:themeColor="accent3" w:sz="24" w:space="0"/>
          <w:right w:val="nil"/>
          <w:insideH w:val="nil"/>
          <w:insideV w:val="nil"/>
        </w:tcBorders>
        <w:shd w:val="clear" w:color="auto" w:fill="FFFFFF" w:themeFill="background1"/>
      </w:tcPr>
    </w:tblStylePr>
    <w:tblStylePr w:type="lastRow">
      <w:tblPr/>
      <w:tcPr>
        <w:tcBorders>
          <w:top w:val="single" w:color="0B254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3" w:sz="8" w:space="0"/>
          <w:insideH w:val="nil"/>
          <w:insideV w:val="nil"/>
        </w:tcBorders>
        <w:shd w:val="clear" w:color="auto" w:fill="FFFFFF" w:themeFill="background1"/>
      </w:tcPr>
    </w:tblStylePr>
    <w:tblStylePr w:type="lastCol">
      <w:tblPr/>
      <w:tcPr>
        <w:tcBorders>
          <w:top w:val="nil"/>
          <w:left w:val="single" w:color="0B254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3" w:themeFillTint="3F"/>
      </w:tcPr>
    </w:tblStylePr>
    <w:tblStylePr w:type="band1Horz">
      <w:tblPr/>
      <w:tcPr>
        <w:tcBorders>
          <w:top w:val="nil"/>
          <w:bottom w:val="nil"/>
          <w:insideH w:val="nil"/>
          <w:insideV w:val="nil"/>
        </w:tcBorders>
        <w:shd w:val="clear" w:color="auto" w:fill="A3C5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tblBorders>
    </w:tblPr>
    <w:tblStylePr w:type="firstRow">
      <w:rPr>
        <w:sz w:val="24"/>
        <w:szCs w:val="24"/>
      </w:rPr>
      <w:tblPr/>
      <w:tcPr>
        <w:tcBorders>
          <w:top w:val="nil"/>
          <w:left w:val="nil"/>
          <w:bottom w:val="single" w:color="0B2545" w:themeColor="accent4" w:sz="24" w:space="0"/>
          <w:right w:val="nil"/>
          <w:insideH w:val="nil"/>
          <w:insideV w:val="nil"/>
        </w:tcBorders>
        <w:shd w:val="clear" w:color="auto" w:fill="FFFFFF" w:themeFill="background1"/>
      </w:tcPr>
    </w:tblStylePr>
    <w:tblStylePr w:type="lastRow">
      <w:tblPr/>
      <w:tcPr>
        <w:tcBorders>
          <w:top w:val="single" w:color="0B254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4" w:sz="8" w:space="0"/>
          <w:insideH w:val="nil"/>
          <w:insideV w:val="nil"/>
        </w:tcBorders>
        <w:shd w:val="clear" w:color="auto" w:fill="FFFFFF" w:themeFill="background1"/>
      </w:tcPr>
    </w:tblStylePr>
    <w:tblStylePr w:type="lastCol">
      <w:tblPr/>
      <w:tcPr>
        <w:tcBorders>
          <w:top w:val="nil"/>
          <w:left w:val="single" w:color="0B254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4" w:themeFillTint="3F"/>
      </w:tcPr>
    </w:tblStylePr>
    <w:tblStylePr w:type="band1Horz">
      <w:tblPr/>
      <w:tcPr>
        <w:tcBorders>
          <w:top w:val="nil"/>
          <w:bottom w:val="nil"/>
          <w:insideH w:val="nil"/>
          <w:insideV w:val="nil"/>
        </w:tcBorders>
        <w:shd w:val="clear" w:color="auto" w:fill="A3C5F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tblBorders>
    </w:tblPr>
    <w:tblStylePr w:type="firstRow">
      <w:rPr>
        <w:sz w:val="24"/>
        <w:szCs w:val="24"/>
      </w:rPr>
      <w:tblPr/>
      <w:tcPr>
        <w:tcBorders>
          <w:top w:val="nil"/>
          <w:left w:val="nil"/>
          <w:bottom w:val="single" w:color="0B2545" w:themeColor="accent5" w:sz="24" w:space="0"/>
          <w:right w:val="nil"/>
          <w:insideH w:val="nil"/>
          <w:insideV w:val="nil"/>
        </w:tcBorders>
        <w:shd w:val="clear" w:color="auto" w:fill="FFFFFF" w:themeFill="background1"/>
      </w:tcPr>
    </w:tblStylePr>
    <w:tblStylePr w:type="lastRow">
      <w:tblPr/>
      <w:tcPr>
        <w:tcBorders>
          <w:top w:val="single" w:color="0B254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5" w:sz="8" w:space="0"/>
          <w:insideH w:val="nil"/>
          <w:insideV w:val="nil"/>
        </w:tcBorders>
        <w:shd w:val="clear" w:color="auto" w:fill="FFFFFF" w:themeFill="background1"/>
      </w:tcPr>
    </w:tblStylePr>
    <w:tblStylePr w:type="lastCol">
      <w:tblPr/>
      <w:tcPr>
        <w:tcBorders>
          <w:top w:val="nil"/>
          <w:left w:val="single" w:color="0B254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5" w:themeFillTint="3F"/>
      </w:tcPr>
    </w:tblStylePr>
    <w:tblStylePr w:type="band1Horz">
      <w:tblPr/>
      <w:tcPr>
        <w:tcBorders>
          <w:top w:val="nil"/>
          <w:bottom w:val="nil"/>
          <w:insideH w:val="nil"/>
          <w:insideV w:val="nil"/>
        </w:tcBorders>
        <w:shd w:val="clear" w:color="auto" w:fill="A3C5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tblBorders>
    </w:tblPr>
    <w:tblStylePr w:type="firstRow">
      <w:rPr>
        <w:sz w:val="24"/>
        <w:szCs w:val="24"/>
      </w:rPr>
      <w:tblPr/>
      <w:tcPr>
        <w:tcBorders>
          <w:top w:val="nil"/>
          <w:left w:val="nil"/>
          <w:bottom w:val="single" w:color="0B2545" w:themeColor="accent6" w:sz="24" w:space="0"/>
          <w:right w:val="nil"/>
          <w:insideH w:val="nil"/>
          <w:insideV w:val="nil"/>
        </w:tcBorders>
        <w:shd w:val="clear" w:color="auto" w:fill="FFFFFF" w:themeFill="background1"/>
      </w:tcPr>
    </w:tblStylePr>
    <w:tblStylePr w:type="lastRow">
      <w:tblPr/>
      <w:tcPr>
        <w:tcBorders>
          <w:top w:val="single" w:color="0B2545"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B2545" w:themeColor="accent6" w:sz="8" w:space="0"/>
          <w:insideH w:val="nil"/>
          <w:insideV w:val="nil"/>
        </w:tcBorders>
        <w:shd w:val="clear" w:color="auto" w:fill="FFFFFF" w:themeFill="background1"/>
      </w:tcPr>
    </w:tblStylePr>
    <w:tblStylePr w:type="lastCol">
      <w:tblPr/>
      <w:tcPr>
        <w:tcBorders>
          <w:top w:val="nil"/>
          <w:left w:val="single" w:color="0B2545"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5F0" w:themeFill="accent6" w:themeFillTint="3F"/>
      </w:tcPr>
    </w:tblStylePr>
    <w:tblStylePr w:type="band1Horz">
      <w:tblPr/>
      <w:tcPr>
        <w:tcBorders>
          <w:top w:val="nil"/>
          <w:bottom w:val="nil"/>
          <w:insideH w:val="nil"/>
          <w:insideV w:val="nil"/>
        </w:tcBorders>
        <w:shd w:val="clear" w:color="auto" w:fill="A3C5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1956A1" w:themeColor="accent1" w:themeTint="BF" w:sz="8" w:space="0"/>
        <w:left w:val="single" w:color="1956A1" w:themeColor="accent1" w:themeTint="BF" w:sz="8" w:space="0"/>
        <w:bottom w:val="single" w:color="1956A1" w:themeColor="accent1" w:themeTint="BF" w:sz="8" w:space="0"/>
        <w:right w:val="single" w:color="1956A1" w:themeColor="accent1" w:themeTint="BF" w:sz="8" w:space="0"/>
        <w:insideH w:val="single" w:color="1956A1" w:themeColor="accent1" w:themeTint="BF" w:sz="8" w:space="0"/>
        <w:insideV w:val="single" w:color="1956A1" w:themeColor="accent1" w:themeTint="BF" w:sz="8" w:space="0"/>
      </w:tblBorders>
    </w:tblPr>
    <w:tcPr>
      <w:shd w:val="clear" w:color="auto" w:fill="A3C5F0" w:themeFill="accent1" w:themeFillTint="3F"/>
    </w:tcPr>
    <w:tblStylePr w:type="firstRow">
      <w:rPr>
        <w:b/>
        <w:bCs/>
      </w:rPr>
    </w:tblStylePr>
    <w:tblStylePr w:type="lastRow">
      <w:rPr>
        <w:b/>
        <w:bCs/>
      </w:rPr>
      <w:tblPr/>
      <w:tcPr>
        <w:tcBorders>
          <w:top w:val="single" w:color="1956A1" w:themeColor="accent1" w:themeTint="BF" w:sz="18" w:space="0"/>
        </w:tcBorders>
      </w:tcPr>
    </w:tblStylePr>
    <w:tblStylePr w:type="firstCol">
      <w:rPr>
        <w:b/>
        <w:bCs/>
      </w:rPr>
    </w:tblStylePr>
    <w:tblStylePr w:type="lastCol">
      <w:rPr>
        <w:b/>
        <w:bCs/>
      </w:rPr>
    </w:tblStylePr>
    <w:tblStylePr w:type="band1Vert">
      <w:tblPr/>
      <w:tcPr>
        <w:shd w:val="clear" w:color="auto" w:fill="468BE1" w:themeFill="accent1" w:themeFillTint="7F"/>
      </w:tcPr>
    </w:tblStylePr>
    <w:tblStylePr w:type="band1Horz">
      <w:tblPr/>
      <w:tcPr>
        <w:shd w:val="clear" w:color="auto" w:fill="468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7E8FA2" w:themeColor="accent2" w:themeTint="BF" w:sz="8" w:space="0"/>
        <w:left w:val="single" w:color="7E8FA2" w:themeColor="accent2" w:themeTint="BF" w:sz="8" w:space="0"/>
        <w:bottom w:val="single" w:color="7E8FA2" w:themeColor="accent2" w:themeTint="BF" w:sz="8" w:space="0"/>
        <w:right w:val="single" w:color="7E8FA2" w:themeColor="accent2" w:themeTint="BF" w:sz="8" w:space="0"/>
        <w:insideH w:val="single" w:color="7E8FA2" w:themeColor="accent2" w:themeTint="BF" w:sz="8" w:space="0"/>
        <w:insideV w:val="single" w:color="7E8FA2" w:themeColor="accent2" w:themeTint="BF" w:sz="8" w:space="0"/>
      </w:tblBorders>
    </w:tblPr>
    <w:tcPr>
      <w:shd w:val="clear" w:color="auto" w:fill="D4DAE0" w:themeFill="accent2" w:themeFillTint="3F"/>
    </w:tcPr>
    <w:tblStylePr w:type="firstRow">
      <w:rPr>
        <w:b/>
        <w:bCs/>
      </w:rPr>
    </w:tblStylePr>
    <w:tblStylePr w:type="lastRow">
      <w:rPr>
        <w:b/>
        <w:bCs/>
      </w:rPr>
      <w:tblPr/>
      <w:tcPr>
        <w:tcBorders>
          <w:top w:val="single" w:color="7E8FA2" w:themeColor="accent2" w:themeTint="BF" w:sz="18" w:space="0"/>
        </w:tcBorders>
      </w:tcPr>
    </w:tblStylePr>
    <w:tblStylePr w:type="firstCol">
      <w:rPr>
        <w:b/>
        <w:bCs/>
      </w:rPr>
    </w:tblStylePr>
    <w:tblStylePr w:type="lastCol">
      <w:rPr>
        <w:b/>
        <w:bCs/>
      </w:rPr>
    </w:tblStylePr>
    <w:tblStylePr w:type="band1Vert">
      <w:tblPr/>
      <w:tcPr>
        <w:shd w:val="clear" w:color="auto" w:fill="A9B5C1" w:themeFill="accent2" w:themeFillTint="7F"/>
      </w:tcPr>
    </w:tblStylePr>
    <w:tblStylePr w:type="band1Horz">
      <w:tblPr/>
      <w:tcPr>
        <w:shd w:val="clear" w:color="auto" w:fill="A9B5C1"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1956A1" w:themeColor="accent3" w:themeTint="BF" w:sz="8" w:space="0"/>
        <w:left w:val="single" w:color="1956A1" w:themeColor="accent3" w:themeTint="BF" w:sz="8" w:space="0"/>
        <w:bottom w:val="single" w:color="1956A1" w:themeColor="accent3" w:themeTint="BF" w:sz="8" w:space="0"/>
        <w:right w:val="single" w:color="1956A1" w:themeColor="accent3" w:themeTint="BF" w:sz="8" w:space="0"/>
        <w:insideH w:val="single" w:color="1956A1" w:themeColor="accent3" w:themeTint="BF" w:sz="8" w:space="0"/>
        <w:insideV w:val="single" w:color="1956A1" w:themeColor="accent3" w:themeTint="BF" w:sz="8" w:space="0"/>
      </w:tblBorders>
    </w:tblPr>
    <w:tcPr>
      <w:shd w:val="clear" w:color="auto" w:fill="A3C5F0" w:themeFill="accent3" w:themeFillTint="3F"/>
    </w:tcPr>
    <w:tblStylePr w:type="firstRow">
      <w:rPr>
        <w:b/>
        <w:bCs/>
      </w:rPr>
    </w:tblStylePr>
    <w:tblStylePr w:type="lastRow">
      <w:rPr>
        <w:b/>
        <w:bCs/>
      </w:rPr>
      <w:tblPr/>
      <w:tcPr>
        <w:tcBorders>
          <w:top w:val="single" w:color="1956A1" w:themeColor="accent3" w:themeTint="BF" w:sz="18" w:space="0"/>
        </w:tcBorders>
      </w:tcPr>
    </w:tblStylePr>
    <w:tblStylePr w:type="firstCol">
      <w:rPr>
        <w:b/>
        <w:bCs/>
      </w:rPr>
    </w:tblStylePr>
    <w:tblStylePr w:type="lastCol">
      <w:rPr>
        <w:b/>
        <w:bCs/>
      </w:rPr>
    </w:tblStylePr>
    <w:tblStylePr w:type="band1Vert">
      <w:tblPr/>
      <w:tcPr>
        <w:shd w:val="clear" w:color="auto" w:fill="468BE1" w:themeFill="accent3" w:themeFillTint="7F"/>
      </w:tcPr>
    </w:tblStylePr>
    <w:tblStylePr w:type="band1Horz">
      <w:tblPr/>
      <w:tcPr>
        <w:shd w:val="clear" w:color="auto" w:fill="468BE1"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1956A1" w:themeColor="accent4" w:themeTint="BF" w:sz="8" w:space="0"/>
        <w:left w:val="single" w:color="1956A1" w:themeColor="accent4" w:themeTint="BF" w:sz="8" w:space="0"/>
        <w:bottom w:val="single" w:color="1956A1" w:themeColor="accent4" w:themeTint="BF" w:sz="8" w:space="0"/>
        <w:right w:val="single" w:color="1956A1" w:themeColor="accent4" w:themeTint="BF" w:sz="8" w:space="0"/>
        <w:insideH w:val="single" w:color="1956A1" w:themeColor="accent4" w:themeTint="BF" w:sz="8" w:space="0"/>
        <w:insideV w:val="single" w:color="1956A1" w:themeColor="accent4" w:themeTint="BF" w:sz="8" w:space="0"/>
      </w:tblBorders>
    </w:tblPr>
    <w:tcPr>
      <w:shd w:val="clear" w:color="auto" w:fill="A3C5F0" w:themeFill="accent4" w:themeFillTint="3F"/>
    </w:tcPr>
    <w:tblStylePr w:type="firstRow">
      <w:rPr>
        <w:b/>
        <w:bCs/>
      </w:rPr>
    </w:tblStylePr>
    <w:tblStylePr w:type="lastRow">
      <w:rPr>
        <w:b/>
        <w:bCs/>
      </w:rPr>
      <w:tblPr/>
      <w:tcPr>
        <w:tcBorders>
          <w:top w:val="single" w:color="1956A1" w:themeColor="accent4" w:themeTint="BF" w:sz="18" w:space="0"/>
        </w:tcBorders>
      </w:tcPr>
    </w:tblStylePr>
    <w:tblStylePr w:type="firstCol">
      <w:rPr>
        <w:b/>
        <w:bCs/>
      </w:rPr>
    </w:tblStylePr>
    <w:tblStylePr w:type="lastCol">
      <w:rPr>
        <w:b/>
        <w:bCs/>
      </w:rPr>
    </w:tblStylePr>
    <w:tblStylePr w:type="band1Vert">
      <w:tblPr/>
      <w:tcPr>
        <w:shd w:val="clear" w:color="auto" w:fill="468BE1" w:themeFill="accent4" w:themeFillTint="7F"/>
      </w:tcPr>
    </w:tblStylePr>
    <w:tblStylePr w:type="band1Horz">
      <w:tblPr/>
      <w:tcPr>
        <w:shd w:val="clear" w:color="auto" w:fill="468BE1"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1956A1" w:themeColor="accent5" w:themeTint="BF" w:sz="8" w:space="0"/>
        <w:left w:val="single" w:color="1956A1" w:themeColor="accent5" w:themeTint="BF" w:sz="8" w:space="0"/>
        <w:bottom w:val="single" w:color="1956A1" w:themeColor="accent5" w:themeTint="BF" w:sz="8" w:space="0"/>
        <w:right w:val="single" w:color="1956A1" w:themeColor="accent5" w:themeTint="BF" w:sz="8" w:space="0"/>
        <w:insideH w:val="single" w:color="1956A1" w:themeColor="accent5" w:themeTint="BF" w:sz="8" w:space="0"/>
        <w:insideV w:val="single" w:color="1956A1" w:themeColor="accent5" w:themeTint="BF" w:sz="8" w:space="0"/>
      </w:tblBorders>
    </w:tblPr>
    <w:tcPr>
      <w:shd w:val="clear" w:color="auto" w:fill="A3C5F0" w:themeFill="accent5" w:themeFillTint="3F"/>
    </w:tcPr>
    <w:tblStylePr w:type="firstRow">
      <w:rPr>
        <w:b/>
        <w:bCs/>
      </w:rPr>
    </w:tblStylePr>
    <w:tblStylePr w:type="lastRow">
      <w:rPr>
        <w:b/>
        <w:bCs/>
      </w:rPr>
      <w:tblPr/>
      <w:tcPr>
        <w:tcBorders>
          <w:top w:val="single" w:color="1956A1" w:themeColor="accent5" w:themeTint="BF" w:sz="18" w:space="0"/>
        </w:tcBorders>
      </w:tcPr>
    </w:tblStylePr>
    <w:tblStylePr w:type="firstCol">
      <w:rPr>
        <w:b/>
        <w:bCs/>
      </w:rPr>
    </w:tblStylePr>
    <w:tblStylePr w:type="lastCol">
      <w:rPr>
        <w:b/>
        <w:bCs/>
      </w:rPr>
    </w:tblStylePr>
    <w:tblStylePr w:type="band1Vert">
      <w:tblPr/>
      <w:tcPr>
        <w:shd w:val="clear" w:color="auto" w:fill="468BE1" w:themeFill="accent5" w:themeFillTint="7F"/>
      </w:tcPr>
    </w:tblStylePr>
    <w:tblStylePr w:type="band1Horz">
      <w:tblPr/>
      <w:tcPr>
        <w:shd w:val="clear" w:color="auto" w:fill="468B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1956A1" w:themeColor="accent6" w:themeTint="BF" w:sz="8" w:space="0"/>
        <w:left w:val="single" w:color="1956A1" w:themeColor="accent6" w:themeTint="BF" w:sz="8" w:space="0"/>
        <w:bottom w:val="single" w:color="1956A1" w:themeColor="accent6" w:themeTint="BF" w:sz="8" w:space="0"/>
        <w:right w:val="single" w:color="1956A1" w:themeColor="accent6" w:themeTint="BF" w:sz="8" w:space="0"/>
        <w:insideH w:val="single" w:color="1956A1" w:themeColor="accent6" w:themeTint="BF" w:sz="8" w:space="0"/>
        <w:insideV w:val="single" w:color="1956A1" w:themeColor="accent6" w:themeTint="BF" w:sz="8" w:space="0"/>
      </w:tblBorders>
    </w:tblPr>
    <w:tcPr>
      <w:shd w:val="clear" w:color="auto" w:fill="A3C5F0" w:themeFill="accent6" w:themeFillTint="3F"/>
    </w:tcPr>
    <w:tblStylePr w:type="firstRow">
      <w:rPr>
        <w:b/>
        <w:bCs/>
      </w:rPr>
    </w:tblStylePr>
    <w:tblStylePr w:type="lastRow">
      <w:rPr>
        <w:b/>
        <w:bCs/>
      </w:rPr>
      <w:tblPr/>
      <w:tcPr>
        <w:tcBorders>
          <w:top w:val="single" w:color="1956A1" w:themeColor="accent6" w:themeTint="BF" w:sz="18" w:space="0"/>
        </w:tcBorders>
      </w:tcPr>
    </w:tblStylePr>
    <w:tblStylePr w:type="firstCol">
      <w:rPr>
        <w:b/>
        <w:bCs/>
      </w:rPr>
    </w:tblStylePr>
    <w:tblStylePr w:type="lastCol">
      <w:rPr>
        <w:b/>
        <w:bCs/>
      </w:rPr>
    </w:tblStylePr>
    <w:tblStylePr w:type="band1Vert">
      <w:tblPr/>
      <w:tcPr>
        <w:shd w:val="clear" w:color="auto" w:fill="468BE1" w:themeFill="accent6" w:themeFillTint="7F"/>
      </w:tcPr>
    </w:tblStylePr>
    <w:tblStylePr w:type="band1Horz">
      <w:tblPr/>
      <w:tcPr>
        <w:shd w:val="clear" w:color="auto" w:fill="468BE1"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1" w:sz="8" w:space="0"/>
        <w:left w:val="single" w:color="0B2545" w:themeColor="accent1" w:sz="8" w:space="0"/>
        <w:bottom w:val="single" w:color="0B2545" w:themeColor="accent1" w:sz="8" w:space="0"/>
        <w:right w:val="single" w:color="0B2545" w:themeColor="accent1" w:sz="8" w:space="0"/>
        <w:insideH w:val="single" w:color="0B2545" w:themeColor="accent1" w:sz="8" w:space="0"/>
        <w:insideV w:val="single" w:color="0B2545" w:themeColor="accent1" w:sz="8" w:space="0"/>
      </w:tblBorders>
    </w:tblPr>
    <w:tcPr>
      <w:shd w:val="clear" w:color="auto" w:fill="A3C5F0" w:themeFill="accent1" w:themeFillTint="3F"/>
    </w:tcPr>
    <w:tblStylePr w:type="firstRow">
      <w:rPr>
        <w:b/>
        <w:bCs/>
        <w:color w:val="1A1A1A" w:themeColor="text1"/>
      </w:rPr>
      <w:tblPr/>
      <w:tcPr>
        <w:shd w:val="clear" w:color="auto" w:fill="DAE8F9"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1" w:themeFillTint="33"/>
      </w:tcPr>
    </w:tblStylePr>
    <w:tblStylePr w:type="band1Vert">
      <w:tblPr/>
      <w:tcPr>
        <w:shd w:val="clear" w:color="auto" w:fill="468BE1" w:themeFill="accent1" w:themeFillTint="7F"/>
      </w:tcPr>
    </w:tblStylePr>
    <w:tblStylePr w:type="band1Horz">
      <w:tblPr/>
      <w:tcPr>
        <w:tcBorders>
          <w:insideH w:val="single" w:color="0B2545" w:themeColor="accent1" w:sz="6" w:space="0"/>
          <w:insideV w:val="single" w:color="0B2545" w:themeColor="accent1" w:sz="6" w:space="0"/>
        </w:tcBorders>
        <w:shd w:val="clear" w:color="auto" w:fill="468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A6B7D" w:themeColor="accent2" w:sz="8" w:space="0"/>
        <w:left w:val="single" w:color="5A6B7D" w:themeColor="accent2" w:sz="8" w:space="0"/>
        <w:bottom w:val="single" w:color="5A6B7D" w:themeColor="accent2" w:sz="8" w:space="0"/>
        <w:right w:val="single" w:color="5A6B7D" w:themeColor="accent2" w:sz="8" w:space="0"/>
        <w:insideH w:val="single" w:color="5A6B7D" w:themeColor="accent2" w:sz="8" w:space="0"/>
        <w:insideV w:val="single" w:color="5A6B7D" w:themeColor="accent2" w:sz="8" w:space="0"/>
      </w:tblBorders>
    </w:tblPr>
    <w:tcPr>
      <w:shd w:val="clear" w:color="auto" w:fill="D4DAE0" w:themeFill="accent2" w:themeFillTint="3F"/>
    </w:tcPr>
    <w:tblStylePr w:type="firstRow">
      <w:rPr>
        <w:b/>
        <w:bCs/>
        <w:color w:val="1A1A1A" w:themeColor="text1"/>
      </w:rPr>
      <w:tblPr/>
      <w:tcPr>
        <w:shd w:val="clear" w:color="auto" w:fill="EEF0F3"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CE1E6" w:themeFill="accent2" w:themeFillTint="33"/>
      </w:tcPr>
    </w:tblStylePr>
    <w:tblStylePr w:type="band1Vert">
      <w:tblPr/>
      <w:tcPr>
        <w:shd w:val="clear" w:color="auto" w:fill="A9B5C1" w:themeFill="accent2" w:themeFillTint="7F"/>
      </w:tcPr>
    </w:tblStylePr>
    <w:tblStylePr w:type="band1Horz">
      <w:tblPr/>
      <w:tcPr>
        <w:tcBorders>
          <w:insideH w:val="single" w:color="5A6B7D" w:themeColor="accent2" w:sz="6" w:space="0"/>
          <w:insideV w:val="single" w:color="5A6B7D" w:themeColor="accent2" w:sz="6" w:space="0"/>
        </w:tcBorders>
        <w:shd w:val="clear" w:color="auto" w:fill="A9B5C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3" w:sz="8" w:space="0"/>
        <w:left w:val="single" w:color="0B2545" w:themeColor="accent3" w:sz="8" w:space="0"/>
        <w:bottom w:val="single" w:color="0B2545" w:themeColor="accent3" w:sz="8" w:space="0"/>
        <w:right w:val="single" w:color="0B2545" w:themeColor="accent3" w:sz="8" w:space="0"/>
        <w:insideH w:val="single" w:color="0B2545" w:themeColor="accent3" w:sz="8" w:space="0"/>
        <w:insideV w:val="single" w:color="0B2545" w:themeColor="accent3" w:sz="8" w:space="0"/>
      </w:tblBorders>
    </w:tblPr>
    <w:tcPr>
      <w:shd w:val="clear" w:color="auto" w:fill="A3C5F0" w:themeFill="accent3" w:themeFillTint="3F"/>
    </w:tcPr>
    <w:tblStylePr w:type="firstRow">
      <w:rPr>
        <w:b/>
        <w:bCs/>
        <w:color w:val="1A1A1A" w:themeColor="text1"/>
      </w:rPr>
      <w:tblPr/>
      <w:tcPr>
        <w:shd w:val="clear" w:color="auto" w:fill="DAE8F9"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3" w:themeFillTint="33"/>
      </w:tcPr>
    </w:tblStylePr>
    <w:tblStylePr w:type="band1Vert">
      <w:tblPr/>
      <w:tcPr>
        <w:shd w:val="clear" w:color="auto" w:fill="468BE1" w:themeFill="accent3" w:themeFillTint="7F"/>
      </w:tcPr>
    </w:tblStylePr>
    <w:tblStylePr w:type="band1Horz">
      <w:tblPr/>
      <w:tcPr>
        <w:tcBorders>
          <w:insideH w:val="single" w:color="0B2545" w:themeColor="accent3" w:sz="6" w:space="0"/>
          <w:insideV w:val="single" w:color="0B2545" w:themeColor="accent3" w:sz="6" w:space="0"/>
        </w:tcBorders>
        <w:shd w:val="clear" w:color="auto" w:fill="468BE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4" w:sz="8" w:space="0"/>
        <w:left w:val="single" w:color="0B2545" w:themeColor="accent4" w:sz="8" w:space="0"/>
        <w:bottom w:val="single" w:color="0B2545" w:themeColor="accent4" w:sz="8" w:space="0"/>
        <w:right w:val="single" w:color="0B2545" w:themeColor="accent4" w:sz="8" w:space="0"/>
        <w:insideH w:val="single" w:color="0B2545" w:themeColor="accent4" w:sz="8" w:space="0"/>
        <w:insideV w:val="single" w:color="0B2545" w:themeColor="accent4" w:sz="8" w:space="0"/>
      </w:tblBorders>
    </w:tblPr>
    <w:tcPr>
      <w:shd w:val="clear" w:color="auto" w:fill="A3C5F0" w:themeFill="accent4" w:themeFillTint="3F"/>
    </w:tcPr>
    <w:tblStylePr w:type="firstRow">
      <w:rPr>
        <w:b/>
        <w:bCs/>
        <w:color w:val="1A1A1A" w:themeColor="text1"/>
      </w:rPr>
      <w:tblPr/>
      <w:tcPr>
        <w:shd w:val="clear" w:color="auto" w:fill="DAE8F9"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4" w:themeFillTint="33"/>
      </w:tcPr>
    </w:tblStylePr>
    <w:tblStylePr w:type="band1Vert">
      <w:tblPr/>
      <w:tcPr>
        <w:shd w:val="clear" w:color="auto" w:fill="468BE1" w:themeFill="accent4" w:themeFillTint="7F"/>
      </w:tcPr>
    </w:tblStylePr>
    <w:tblStylePr w:type="band1Horz">
      <w:tblPr/>
      <w:tcPr>
        <w:tcBorders>
          <w:insideH w:val="single" w:color="0B2545" w:themeColor="accent4" w:sz="6" w:space="0"/>
          <w:insideV w:val="single" w:color="0B2545" w:themeColor="accent4" w:sz="6" w:space="0"/>
        </w:tcBorders>
        <w:shd w:val="clear" w:color="auto" w:fill="468BE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5" w:sz="8" w:space="0"/>
        <w:left w:val="single" w:color="0B2545" w:themeColor="accent5" w:sz="8" w:space="0"/>
        <w:bottom w:val="single" w:color="0B2545" w:themeColor="accent5" w:sz="8" w:space="0"/>
        <w:right w:val="single" w:color="0B2545" w:themeColor="accent5" w:sz="8" w:space="0"/>
        <w:insideH w:val="single" w:color="0B2545" w:themeColor="accent5" w:sz="8" w:space="0"/>
        <w:insideV w:val="single" w:color="0B2545" w:themeColor="accent5" w:sz="8" w:space="0"/>
      </w:tblBorders>
    </w:tblPr>
    <w:tcPr>
      <w:shd w:val="clear" w:color="auto" w:fill="A3C5F0" w:themeFill="accent5" w:themeFillTint="3F"/>
    </w:tcPr>
    <w:tblStylePr w:type="firstRow">
      <w:rPr>
        <w:b/>
        <w:bCs/>
        <w:color w:val="1A1A1A" w:themeColor="text1"/>
      </w:rPr>
      <w:tblPr/>
      <w:tcPr>
        <w:shd w:val="clear" w:color="auto" w:fill="DAE8F9"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5" w:themeFillTint="33"/>
      </w:tcPr>
    </w:tblStylePr>
    <w:tblStylePr w:type="band1Vert">
      <w:tblPr/>
      <w:tcPr>
        <w:shd w:val="clear" w:color="auto" w:fill="468BE1" w:themeFill="accent5" w:themeFillTint="7F"/>
      </w:tcPr>
    </w:tblStylePr>
    <w:tblStylePr w:type="band1Horz">
      <w:tblPr/>
      <w:tcPr>
        <w:tcBorders>
          <w:insideH w:val="single" w:color="0B2545" w:themeColor="accent5" w:sz="6" w:space="0"/>
          <w:insideV w:val="single" w:color="0B2545" w:themeColor="accent5" w:sz="6" w:space="0"/>
        </w:tcBorders>
        <w:shd w:val="clear" w:color="auto" w:fill="468B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0B2545" w:themeColor="accent6" w:sz="8" w:space="0"/>
        <w:left w:val="single" w:color="0B2545" w:themeColor="accent6" w:sz="8" w:space="0"/>
        <w:bottom w:val="single" w:color="0B2545" w:themeColor="accent6" w:sz="8" w:space="0"/>
        <w:right w:val="single" w:color="0B2545" w:themeColor="accent6" w:sz="8" w:space="0"/>
        <w:insideH w:val="single" w:color="0B2545" w:themeColor="accent6" w:sz="8" w:space="0"/>
        <w:insideV w:val="single" w:color="0B2545" w:themeColor="accent6" w:sz="8" w:space="0"/>
      </w:tblBorders>
    </w:tblPr>
    <w:tcPr>
      <w:shd w:val="clear" w:color="auto" w:fill="A3C5F0" w:themeFill="accent6" w:themeFillTint="3F"/>
    </w:tcPr>
    <w:tblStylePr w:type="firstRow">
      <w:rPr>
        <w:b/>
        <w:bCs/>
        <w:color w:val="1A1A1A" w:themeColor="text1"/>
      </w:rPr>
      <w:tblPr/>
      <w:tcPr>
        <w:shd w:val="clear" w:color="auto" w:fill="DAE8F9"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B4D0F3" w:themeFill="accent6" w:themeFillTint="33"/>
      </w:tcPr>
    </w:tblStylePr>
    <w:tblStylePr w:type="band1Vert">
      <w:tblPr/>
      <w:tcPr>
        <w:shd w:val="clear" w:color="auto" w:fill="468BE1" w:themeFill="accent6" w:themeFillTint="7F"/>
      </w:tcPr>
    </w:tblStylePr>
    <w:tblStylePr w:type="band1Horz">
      <w:tblPr/>
      <w:tcPr>
        <w:tcBorders>
          <w:insideH w:val="single" w:color="0B2545" w:themeColor="accent6" w:sz="6" w:space="0"/>
          <w:insideV w:val="single" w:color="0B2545" w:themeColor="accent6" w:sz="6" w:space="0"/>
        </w:tcBorders>
        <w:shd w:val="clear" w:color="auto" w:fill="468BE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4DAE0"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A6B7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A6B7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A6B7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A6B7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9B5C1"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9B5C1"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C5F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B2545"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B2545"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B2545"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B2545"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68BE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68BE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1" w:themeFillShade="BF"/>
      </w:tcPr>
    </w:tblStylePr>
    <w:tblStylePr w:type="band1Vert">
      <w:tblPr/>
      <w:tcPr>
        <w:tcBorders>
          <w:top w:val="nil"/>
          <w:left w:val="nil"/>
          <w:bottom w:val="nil"/>
          <w:right w:val="nil"/>
          <w:insideH w:val="nil"/>
          <w:insideV w:val="nil"/>
        </w:tcBorders>
        <w:shd w:val="clear" w:color="auto" w:fill="081B33" w:themeFill="accent1" w:themeFillShade="BF"/>
      </w:tcPr>
    </w:tblStylePr>
    <w:tblStylePr w:type="band1Horz">
      <w:tblPr/>
      <w:tcPr>
        <w:tcBorders>
          <w:top w:val="nil"/>
          <w:left w:val="nil"/>
          <w:bottom w:val="nil"/>
          <w:right w:val="nil"/>
          <w:insideH w:val="nil"/>
          <w:insideV w:val="nil"/>
        </w:tcBorders>
        <w:shd w:val="clear" w:color="auto" w:fill="081B33"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A6B7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C353E"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3505D"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3505D" w:themeFill="accent2" w:themeFillShade="BF"/>
      </w:tcPr>
    </w:tblStylePr>
    <w:tblStylePr w:type="band1Vert">
      <w:tblPr/>
      <w:tcPr>
        <w:tcBorders>
          <w:top w:val="nil"/>
          <w:left w:val="nil"/>
          <w:bottom w:val="nil"/>
          <w:right w:val="nil"/>
          <w:insideH w:val="nil"/>
          <w:insideV w:val="nil"/>
        </w:tcBorders>
        <w:shd w:val="clear" w:color="auto" w:fill="43505D" w:themeFill="accent2" w:themeFillShade="BF"/>
      </w:tcPr>
    </w:tblStylePr>
    <w:tblStylePr w:type="band1Horz">
      <w:tblPr/>
      <w:tcPr>
        <w:tcBorders>
          <w:top w:val="nil"/>
          <w:left w:val="nil"/>
          <w:bottom w:val="nil"/>
          <w:right w:val="nil"/>
          <w:insideH w:val="nil"/>
          <w:insideV w:val="nil"/>
        </w:tcBorders>
        <w:shd w:val="clear" w:color="auto" w:fill="43505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3" w:themeFillShade="BF"/>
      </w:tcPr>
    </w:tblStylePr>
    <w:tblStylePr w:type="band1Vert">
      <w:tblPr/>
      <w:tcPr>
        <w:tcBorders>
          <w:top w:val="nil"/>
          <w:left w:val="nil"/>
          <w:bottom w:val="nil"/>
          <w:right w:val="nil"/>
          <w:insideH w:val="nil"/>
          <w:insideV w:val="nil"/>
        </w:tcBorders>
        <w:shd w:val="clear" w:color="auto" w:fill="081B33" w:themeFill="accent3" w:themeFillShade="BF"/>
      </w:tcPr>
    </w:tblStylePr>
    <w:tblStylePr w:type="band1Horz">
      <w:tblPr/>
      <w:tcPr>
        <w:tcBorders>
          <w:top w:val="nil"/>
          <w:left w:val="nil"/>
          <w:bottom w:val="nil"/>
          <w:right w:val="nil"/>
          <w:insideH w:val="nil"/>
          <w:insideV w:val="nil"/>
        </w:tcBorders>
        <w:shd w:val="clear" w:color="auto" w:fill="081B3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4" w:themeFillShade="BF"/>
      </w:tcPr>
    </w:tblStylePr>
    <w:tblStylePr w:type="band1Vert">
      <w:tblPr/>
      <w:tcPr>
        <w:tcBorders>
          <w:top w:val="nil"/>
          <w:left w:val="nil"/>
          <w:bottom w:val="nil"/>
          <w:right w:val="nil"/>
          <w:insideH w:val="nil"/>
          <w:insideV w:val="nil"/>
        </w:tcBorders>
        <w:shd w:val="clear" w:color="auto" w:fill="081B33" w:themeFill="accent4" w:themeFillShade="BF"/>
      </w:tcPr>
    </w:tblStylePr>
    <w:tblStylePr w:type="band1Horz">
      <w:tblPr/>
      <w:tcPr>
        <w:tcBorders>
          <w:top w:val="nil"/>
          <w:left w:val="nil"/>
          <w:bottom w:val="nil"/>
          <w:right w:val="nil"/>
          <w:insideH w:val="nil"/>
          <w:insideV w:val="nil"/>
        </w:tcBorders>
        <w:shd w:val="clear" w:color="auto" w:fill="081B33"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5" w:themeFillShade="BF"/>
      </w:tcPr>
    </w:tblStylePr>
    <w:tblStylePr w:type="band1Vert">
      <w:tblPr/>
      <w:tcPr>
        <w:tcBorders>
          <w:top w:val="nil"/>
          <w:left w:val="nil"/>
          <w:bottom w:val="nil"/>
          <w:right w:val="nil"/>
          <w:insideH w:val="nil"/>
          <w:insideV w:val="nil"/>
        </w:tcBorders>
        <w:shd w:val="clear" w:color="auto" w:fill="081B33" w:themeFill="accent5" w:themeFillShade="BF"/>
      </w:tcPr>
    </w:tblStylePr>
    <w:tblStylePr w:type="band1Horz">
      <w:tblPr/>
      <w:tcPr>
        <w:tcBorders>
          <w:top w:val="nil"/>
          <w:left w:val="nil"/>
          <w:bottom w:val="nil"/>
          <w:right w:val="nil"/>
          <w:insideH w:val="nil"/>
          <w:insideV w:val="nil"/>
        </w:tcBorders>
        <w:shd w:val="clear" w:color="auto" w:fill="081B3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B2545"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5122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81B3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81B33" w:themeFill="accent6" w:themeFillShade="BF"/>
      </w:tcPr>
    </w:tblStylePr>
    <w:tblStylePr w:type="band1Vert">
      <w:tblPr/>
      <w:tcPr>
        <w:tcBorders>
          <w:top w:val="nil"/>
          <w:left w:val="nil"/>
          <w:bottom w:val="nil"/>
          <w:right w:val="nil"/>
          <w:insideH w:val="nil"/>
          <w:insideV w:val="nil"/>
        </w:tcBorders>
        <w:shd w:val="clear" w:color="auto" w:fill="081B33" w:themeFill="accent6" w:themeFillShade="BF"/>
      </w:tcPr>
    </w:tblStylePr>
    <w:tblStylePr w:type="band1Horz">
      <w:tblPr/>
      <w:tcPr>
        <w:tcBorders>
          <w:top w:val="nil"/>
          <w:left w:val="nil"/>
          <w:bottom w:val="nil"/>
          <w:right w:val="nil"/>
          <w:insideH w:val="nil"/>
          <w:insideV w:val="nil"/>
        </w:tcBorders>
        <w:shd w:val="clear" w:color="auto" w:fill="081B33"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A6B7D"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A6B7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A6B7D" w:themeColor="accent2" w:sz="24" w:space="0"/>
        <w:left w:val="single" w:color="0B2545" w:themeColor="accent1" w:sz="4" w:space="0"/>
        <w:bottom w:val="single" w:color="0B2545" w:themeColor="accent1" w:sz="4" w:space="0"/>
        <w:right w:val="single" w:color="0B2545" w:themeColor="accent1" w:sz="4" w:space="0"/>
        <w:insideH w:val="single" w:color="FFFFFF" w:themeColor="background1" w:sz="4" w:space="0"/>
        <w:insideV w:val="single" w:color="FFFFFF" w:themeColor="background1" w:sz="4" w:space="0"/>
      </w:tblBorders>
    </w:tblPr>
    <w:tcPr>
      <w:shd w:val="clear" w:color="auto" w:fill="DAE8F9" w:themeFill="accent1" w:themeFillTint="19"/>
    </w:tcPr>
    <w:tblStylePr w:type="firstRow">
      <w:rPr>
        <w:b/>
        <w:bCs/>
      </w:rPr>
      <w:tblPr/>
      <w:tcPr>
        <w:tcBorders>
          <w:top w:val="nil"/>
          <w:left w:val="nil"/>
          <w:bottom w:val="single" w:color="5A6B7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1" w:themeFillShade="99"/>
      </w:tcPr>
    </w:tblStylePr>
    <w:tblStylePr w:type="firstCol">
      <w:rPr>
        <w:color w:val="FFFFFF" w:themeColor="background1"/>
      </w:rPr>
      <w:tblPr/>
      <w:tcPr>
        <w:tcBorders>
          <w:top w:val="nil"/>
          <w:left w:val="nil"/>
          <w:bottom w:val="nil"/>
          <w:right w:val="nil"/>
          <w:insideH w:val="single" w:color="061629" w:themeColor="accent1" w:themeShade="99" w:sz="4" w:space="0"/>
          <w:insideV w:val="nil"/>
        </w:tcBorders>
        <w:shd w:val="clear" w:color="auto" w:fill="06162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1" w:themeFillShade="99"/>
      </w:tcPr>
    </w:tblStylePr>
    <w:tblStylePr w:type="band1Vert">
      <w:tblPr/>
      <w:tcPr>
        <w:shd w:val="clear" w:color="auto" w:fill="6AA2E7" w:themeFill="accent1" w:themeFillTint="66"/>
      </w:tcPr>
    </w:tblStylePr>
    <w:tblStylePr w:type="band1Horz">
      <w:tblPr/>
      <w:tcPr>
        <w:shd w:val="clear" w:color="auto" w:fill="468BE1"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A6B7D" w:themeColor="accent2" w:sz="24" w:space="0"/>
        <w:left w:val="single" w:color="5A6B7D" w:themeColor="accent2" w:sz="4" w:space="0"/>
        <w:bottom w:val="single" w:color="5A6B7D" w:themeColor="accent2" w:sz="4" w:space="0"/>
        <w:right w:val="single" w:color="5A6B7D" w:themeColor="accent2" w:sz="4" w:space="0"/>
        <w:insideH w:val="single" w:color="FFFFFF" w:themeColor="background1" w:sz="4" w:space="0"/>
        <w:insideV w:val="single" w:color="FFFFFF" w:themeColor="background1" w:sz="4" w:space="0"/>
      </w:tblBorders>
    </w:tblPr>
    <w:tcPr>
      <w:shd w:val="clear" w:color="auto" w:fill="EEF0F3" w:themeFill="accent2" w:themeFillTint="19"/>
    </w:tcPr>
    <w:tblStylePr w:type="firstRow">
      <w:rPr>
        <w:b/>
        <w:bCs/>
      </w:rPr>
      <w:tblPr/>
      <w:tcPr>
        <w:tcBorders>
          <w:top w:val="nil"/>
          <w:left w:val="nil"/>
          <w:bottom w:val="single" w:color="5A6B7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6404A" w:themeFill="accent2" w:themeFillShade="99"/>
      </w:tcPr>
    </w:tblStylePr>
    <w:tblStylePr w:type="firstCol">
      <w:rPr>
        <w:color w:val="FFFFFF" w:themeColor="background1"/>
      </w:rPr>
      <w:tblPr/>
      <w:tcPr>
        <w:tcBorders>
          <w:top w:val="nil"/>
          <w:left w:val="nil"/>
          <w:bottom w:val="nil"/>
          <w:right w:val="nil"/>
          <w:insideH w:val="single" w:color="36404A" w:themeColor="accent2" w:themeShade="99" w:sz="4" w:space="0"/>
          <w:insideV w:val="nil"/>
        </w:tcBorders>
        <w:shd w:val="clear" w:color="auto" w:fill="36404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6404A" w:themeFill="accent2" w:themeFillShade="99"/>
      </w:tcPr>
    </w:tblStylePr>
    <w:tblStylePr w:type="band1Vert">
      <w:tblPr/>
      <w:tcPr>
        <w:shd w:val="clear" w:color="auto" w:fill="BAC3CD" w:themeFill="accent2" w:themeFillTint="66"/>
      </w:tcPr>
    </w:tblStylePr>
    <w:tblStylePr w:type="band1Horz">
      <w:tblPr/>
      <w:tcPr>
        <w:shd w:val="clear" w:color="auto" w:fill="A9B5C1"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0B2545" w:themeColor="accent4" w:sz="24" w:space="0"/>
        <w:left w:val="single" w:color="0B2545" w:themeColor="accent3" w:sz="4" w:space="0"/>
        <w:bottom w:val="single" w:color="0B2545" w:themeColor="accent3" w:sz="4" w:space="0"/>
        <w:right w:val="single" w:color="0B2545" w:themeColor="accent3" w:sz="4" w:space="0"/>
        <w:insideH w:val="single" w:color="FFFFFF" w:themeColor="background1" w:sz="4" w:space="0"/>
        <w:insideV w:val="single" w:color="FFFFFF" w:themeColor="background1" w:sz="4" w:space="0"/>
      </w:tblBorders>
    </w:tblPr>
    <w:tcPr>
      <w:shd w:val="clear" w:color="auto" w:fill="DAE8F9" w:themeFill="accent3" w:themeFillTint="19"/>
    </w:tcPr>
    <w:tblStylePr w:type="firstRow">
      <w:rPr>
        <w:b/>
        <w:bCs/>
      </w:rPr>
      <w:tblPr/>
      <w:tcPr>
        <w:tcBorders>
          <w:top w:val="nil"/>
          <w:left w:val="nil"/>
          <w:bottom w:val="single" w:color="0B2545"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3" w:themeFillShade="99"/>
      </w:tcPr>
    </w:tblStylePr>
    <w:tblStylePr w:type="firstCol">
      <w:rPr>
        <w:color w:val="FFFFFF" w:themeColor="background1"/>
      </w:rPr>
      <w:tblPr/>
      <w:tcPr>
        <w:tcBorders>
          <w:top w:val="nil"/>
          <w:left w:val="nil"/>
          <w:bottom w:val="nil"/>
          <w:right w:val="nil"/>
          <w:insideH w:val="single" w:color="061629" w:themeColor="accent3" w:themeShade="99" w:sz="4" w:space="0"/>
          <w:insideV w:val="nil"/>
        </w:tcBorders>
        <w:shd w:val="clear" w:color="auto" w:fill="06162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3" w:themeFillShade="99"/>
      </w:tcPr>
    </w:tblStylePr>
    <w:tblStylePr w:type="band1Vert">
      <w:tblPr/>
      <w:tcPr>
        <w:shd w:val="clear" w:color="auto" w:fill="6AA2E7" w:themeFill="accent3" w:themeFillTint="66"/>
      </w:tcPr>
    </w:tblStylePr>
    <w:tblStylePr w:type="band1Horz">
      <w:tblPr/>
      <w:tcPr>
        <w:shd w:val="clear" w:color="auto" w:fill="468BE1"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0B2545" w:themeColor="accent3" w:sz="24" w:space="0"/>
        <w:left w:val="single" w:color="0B2545" w:themeColor="accent4" w:sz="4" w:space="0"/>
        <w:bottom w:val="single" w:color="0B2545" w:themeColor="accent4" w:sz="4" w:space="0"/>
        <w:right w:val="single" w:color="0B2545" w:themeColor="accent4" w:sz="4" w:space="0"/>
        <w:insideH w:val="single" w:color="FFFFFF" w:themeColor="background1" w:sz="4" w:space="0"/>
        <w:insideV w:val="single" w:color="FFFFFF" w:themeColor="background1" w:sz="4" w:space="0"/>
      </w:tblBorders>
    </w:tblPr>
    <w:tcPr>
      <w:shd w:val="clear" w:color="auto" w:fill="DAE8F9" w:themeFill="accent4" w:themeFillTint="19"/>
    </w:tcPr>
    <w:tblStylePr w:type="firstRow">
      <w:rPr>
        <w:b/>
        <w:bCs/>
      </w:rPr>
      <w:tblPr/>
      <w:tcPr>
        <w:tcBorders>
          <w:top w:val="nil"/>
          <w:left w:val="nil"/>
          <w:bottom w:val="single" w:color="0B254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4" w:themeFillShade="99"/>
      </w:tcPr>
    </w:tblStylePr>
    <w:tblStylePr w:type="firstCol">
      <w:rPr>
        <w:color w:val="FFFFFF" w:themeColor="background1"/>
      </w:rPr>
      <w:tblPr/>
      <w:tcPr>
        <w:tcBorders>
          <w:top w:val="nil"/>
          <w:left w:val="nil"/>
          <w:bottom w:val="nil"/>
          <w:right w:val="nil"/>
          <w:insideH w:val="single" w:color="061629" w:themeColor="accent4" w:themeShade="99" w:sz="4" w:space="0"/>
          <w:insideV w:val="nil"/>
        </w:tcBorders>
        <w:shd w:val="clear" w:color="auto" w:fill="0616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4" w:themeFillShade="99"/>
      </w:tcPr>
    </w:tblStylePr>
    <w:tblStylePr w:type="band1Vert">
      <w:tblPr/>
      <w:tcPr>
        <w:shd w:val="clear" w:color="auto" w:fill="6AA2E7" w:themeFill="accent4" w:themeFillTint="66"/>
      </w:tcPr>
    </w:tblStylePr>
    <w:tblStylePr w:type="band1Horz">
      <w:tblPr/>
      <w:tcPr>
        <w:shd w:val="clear" w:color="auto" w:fill="468BE1"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0B2545" w:themeColor="accent6" w:sz="24" w:space="0"/>
        <w:left w:val="single" w:color="0B2545" w:themeColor="accent5" w:sz="4" w:space="0"/>
        <w:bottom w:val="single" w:color="0B2545" w:themeColor="accent5" w:sz="4" w:space="0"/>
        <w:right w:val="single" w:color="0B2545" w:themeColor="accent5" w:sz="4" w:space="0"/>
        <w:insideH w:val="single" w:color="FFFFFF" w:themeColor="background1" w:sz="4" w:space="0"/>
        <w:insideV w:val="single" w:color="FFFFFF" w:themeColor="background1" w:sz="4" w:space="0"/>
      </w:tblBorders>
    </w:tblPr>
    <w:tcPr>
      <w:shd w:val="clear" w:color="auto" w:fill="DAE8F9" w:themeFill="accent5" w:themeFillTint="19"/>
    </w:tcPr>
    <w:tblStylePr w:type="firstRow">
      <w:rPr>
        <w:b/>
        <w:bCs/>
      </w:rPr>
      <w:tblPr/>
      <w:tcPr>
        <w:tcBorders>
          <w:top w:val="nil"/>
          <w:left w:val="nil"/>
          <w:bottom w:val="single" w:color="0B2545"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5" w:themeFillShade="99"/>
      </w:tcPr>
    </w:tblStylePr>
    <w:tblStylePr w:type="firstCol">
      <w:rPr>
        <w:color w:val="FFFFFF" w:themeColor="background1"/>
      </w:rPr>
      <w:tblPr/>
      <w:tcPr>
        <w:tcBorders>
          <w:top w:val="nil"/>
          <w:left w:val="nil"/>
          <w:bottom w:val="nil"/>
          <w:right w:val="nil"/>
          <w:insideH w:val="single" w:color="061629" w:themeColor="accent5" w:themeShade="99" w:sz="4" w:space="0"/>
          <w:insideV w:val="nil"/>
        </w:tcBorders>
        <w:shd w:val="clear" w:color="auto" w:fill="06162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5" w:themeFillShade="99"/>
      </w:tcPr>
    </w:tblStylePr>
    <w:tblStylePr w:type="band1Vert">
      <w:tblPr/>
      <w:tcPr>
        <w:shd w:val="clear" w:color="auto" w:fill="6AA2E7" w:themeFill="accent5" w:themeFillTint="66"/>
      </w:tcPr>
    </w:tblStylePr>
    <w:tblStylePr w:type="band1Horz">
      <w:tblPr/>
      <w:tcPr>
        <w:shd w:val="clear" w:color="auto" w:fill="468BE1"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0B2545" w:themeColor="accent5" w:sz="24" w:space="0"/>
        <w:left w:val="single" w:color="0B2545" w:themeColor="accent6" w:sz="4" w:space="0"/>
        <w:bottom w:val="single" w:color="0B2545" w:themeColor="accent6" w:sz="4" w:space="0"/>
        <w:right w:val="single" w:color="0B2545" w:themeColor="accent6" w:sz="4" w:space="0"/>
        <w:insideH w:val="single" w:color="FFFFFF" w:themeColor="background1" w:sz="4" w:space="0"/>
        <w:insideV w:val="single" w:color="FFFFFF" w:themeColor="background1" w:sz="4" w:space="0"/>
      </w:tblBorders>
    </w:tblPr>
    <w:tcPr>
      <w:shd w:val="clear" w:color="auto" w:fill="DAE8F9" w:themeFill="accent6" w:themeFillTint="19"/>
    </w:tcPr>
    <w:tblStylePr w:type="firstRow">
      <w:rPr>
        <w:b/>
        <w:bCs/>
      </w:rPr>
      <w:tblPr/>
      <w:tcPr>
        <w:tcBorders>
          <w:top w:val="nil"/>
          <w:left w:val="nil"/>
          <w:bottom w:val="single" w:color="0B254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1629" w:themeFill="accent6" w:themeFillShade="99"/>
      </w:tcPr>
    </w:tblStylePr>
    <w:tblStylePr w:type="firstCol">
      <w:rPr>
        <w:color w:val="FFFFFF" w:themeColor="background1"/>
      </w:rPr>
      <w:tblPr/>
      <w:tcPr>
        <w:tcBorders>
          <w:top w:val="nil"/>
          <w:left w:val="nil"/>
          <w:bottom w:val="nil"/>
          <w:right w:val="nil"/>
          <w:insideH w:val="single" w:color="061629" w:themeColor="accent6" w:themeShade="99" w:sz="4" w:space="0"/>
          <w:insideV w:val="nil"/>
        </w:tcBorders>
        <w:shd w:val="clear" w:color="auto" w:fill="06162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61629" w:themeFill="accent6" w:themeFillShade="99"/>
      </w:tcPr>
    </w:tblStylePr>
    <w:tblStylePr w:type="band1Vert">
      <w:tblPr/>
      <w:tcPr>
        <w:shd w:val="clear" w:color="auto" w:fill="6AA2E7" w:themeFill="accent6" w:themeFillTint="66"/>
      </w:tcPr>
    </w:tblStylePr>
    <w:tblStylePr w:type="band1Horz">
      <w:tblPr/>
      <w:tcPr>
        <w:shd w:val="clear" w:color="auto" w:fill="468BE1"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85563" w:themeFill="accent2" w:themeFillShade="CC"/>
      </w:tcPr>
    </w:tblStylePr>
    <w:tblStylePr w:type="lastRow">
      <w:rPr>
        <w:b/>
        <w:bCs/>
        <w:color w:val="485563"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1" w:themeFillTint="19"/>
    </w:tcPr>
    <w:tblStylePr w:type="firstRow">
      <w:rPr>
        <w:b/>
        <w:bCs/>
        <w:color w:val="FFFFFF" w:themeColor="background1"/>
      </w:rPr>
      <w:tblPr/>
      <w:tcPr>
        <w:tcBorders>
          <w:bottom w:val="single" w:color="FFFFFF" w:themeColor="background1" w:sz="12" w:space="0"/>
        </w:tcBorders>
        <w:shd w:val="clear" w:color="auto" w:fill="485563" w:themeFill="accent2" w:themeFillShade="CC"/>
      </w:tcPr>
    </w:tblStylePr>
    <w:tblStylePr w:type="lastRow">
      <w:rPr>
        <w:b/>
        <w:bCs/>
        <w:color w:val="485563"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1" w:themeFillTint="3F"/>
      </w:tcPr>
    </w:tblStylePr>
    <w:tblStylePr w:type="band1Horz">
      <w:tblPr/>
      <w:tcPr>
        <w:shd w:val="clear" w:color="auto" w:fill="B4D0F3"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F0F3" w:themeFill="accent2" w:themeFillTint="19"/>
    </w:tcPr>
    <w:tblStylePr w:type="firstRow">
      <w:rPr>
        <w:b/>
        <w:bCs/>
        <w:color w:val="FFFFFF" w:themeColor="background1"/>
      </w:rPr>
      <w:tblPr/>
      <w:tcPr>
        <w:tcBorders>
          <w:bottom w:val="single" w:color="FFFFFF" w:themeColor="background1" w:sz="12" w:space="0"/>
        </w:tcBorders>
        <w:shd w:val="clear" w:color="auto" w:fill="485563" w:themeFill="accent2" w:themeFillShade="CC"/>
      </w:tcPr>
    </w:tblStylePr>
    <w:tblStylePr w:type="lastRow">
      <w:rPr>
        <w:b/>
        <w:bCs/>
        <w:color w:val="485563"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DAE0" w:themeFill="accent2" w:themeFillTint="3F"/>
      </w:tcPr>
    </w:tblStylePr>
    <w:tblStylePr w:type="band1Horz">
      <w:tblPr/>
      <w:tcPr>
        <w:shd w:val="clear" w:color="auto" w:fill="DCE1E6"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3" w:themeFillTint="19"/>
    </w:tcPr>
    <w:tblStylePr w:type="firstRow">
      <w:rPr>
        <w:b/>
        <w:bCs/>
        <w:color w:val="FFFFFF" w:themeColor="background1"/>
      </w:rPr>
      <w:tblPr/>
      <w:tcPr>
        <w:tcBorders>
          <w:bottom w:val="single" w:color="FFFFFF" w:themeColor="background1" w:sz="12" w:space="0"/>
        </w:tcBorders>
        <w:shd w:val="clear" w:color="auto" w:fill="081D37" w:themeFill="accent4" w:themeFillShade="CC"/>
      </w:tcPr>
    </w:tblStylePr>
    <w:tblStylePr w:type="lastRow">
      <w:rPr>
        <w:b/>
        <w:bCs/>
        <w:color w:val="081D37"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3" w:themeFillTint="3F"/>
      </w:tcPr>
    </w:tblStylePr>
    <w:tblStylePr w:type="band1Horz">
      <w:tblPr/>
      <w:tcPr>
        <w:shd w:val="clear" w:color="auto" w:fill="B4D0F3"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4" w:themeFillTint="19"/>
    </w:tcPr>
    <w:tblStylePr w:type="firstRow">
      <w:rPr>
        <w:b/>
        <w:bCs/>
        <w:color w:val="FFFFFF" w:themeColor="background1"/>
      </w:rPr>
      <w:tblPr/>
      <w:tcPr>
        <w:tcBorders>
          <w:bottom w:val="single" w:color="FFFFFF" w:themeColor="background1" w:sz="12" w:space="0"/>
        </w:tcBorders>
        <w:shd w:val="clear" w:color="auto" w:fill="081D37" w:themeFill="accent3" w:themeFillShade="CC"/>
      </w:tcPr>
    </w:tblStylePr>
    <w:tblStylePr w:type="lastRow">
      <w:rPr>
        <w:b/>
        <w:bCs/>
        <w:color w:val="081D37"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4" w:themeFillTint="3F"/>
      </w:tcPr>
    </w:tblStylePr>
    <w:tblStylePr w:type="band1Horz">
      <w:tblPr/>
      <w:tcPr>
        <w:shd w:val="clear" w:color="auto" w:fill="B4D0F3"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5" w:themeFillTint="19"/>
    </w:tcPr>
    <w:tblStylePr w:type="firstRow">
      <w:rPr>
        <w:b/>
        <w:bCs/>
        <w:color w:val="FFFFFF" w:themeColor="background1"/>
      </w:rPr>
      <w:tblPr/>
      <w:tcPr>
        <w:tcBorders>
          <w:bottom w:val="single" w:color="FFFFFF" w:themeColor="background1" w:sz="12" w:space="0"/>
        </w:tcBorders>
        <w:shd w:val="clear" w:color="auto" w:fill="081D37" w:themeFill="accent6" w:themeFillShade="CC"/>
      </w:tcPr>
    </w:tblStylePr>
    <w:tblStylePr w:type="lastRow">
      <w:rPr>
        <w:b/>
        <w:bCs/>
        <w:color w:val="081D37"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5" w:themeFillTint="3F"/>
      </w:tcPr>
    </w:tblStylePr>
    <w:tblStylePr w:type="band1Horz">
      <w:tblPr/>
      <w:tcPr>
        <w:shd w:val="clear" w:color="auto" w:fill="B4D0F3"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DAE8F9" w:themeFill="accent6" w:themeFillTint="19"/>
    </w:tcPr>
    <w:tblStylePr w:type="firstRow">
      <w:rPr>
        <w:b/>
        <w:bCs/>
        <w:color w:val="FFFFFF" w:themeColor="background1"/>
      </w:rPr>
      <w:tblPr/>
      <w:tcPr>
        <w:tcBorders>
          <w:bottom w:val="single" w:color="FFFFFF" w:themeColor="background1" w:sz="12" w:space="0"/>
        </w:tcBorders>
        <w:shd w:val="clear" w:color="auto" w:fill="081D37" w:themeFill="accent5" w:themeFillShade="CC"/>
      </w:tcPr>
    </w:tblStylePr>
    <w:tblStylePr w:type="lastRow">
      <w:rPr>
        <w:b/>
        <w:bCs/>
        <w:color w:val="081D37"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5F0" w:themeFill="accent6" w:themeFillTint="3F"/>
      </w:tcPr>
    </w:tblStylePr>
    <w:tblStylePr w:type="band1Horz">
      <w:tblPr/>
      <w:tcPr>
        <w:shd w:val="clear" w:color="auto" w:fill="B4D0F3"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1" w:themeFillTint="33"/>
    </w:tcPr>
    <w:tblStylePr w:type="firstRow">
      <w:rPr>
        <w:b/>
        <w:bCs/>
      </w:rPr>
      <w:tblPr/>
      <w:tcPr>
        <w:shd w:val="clear" w:color="auto" w:fill="6AA2E7" w:themeFill="accent1" w:themeFillTint="66"/>
      </w:tcPr>
    </w:tblStylePr>
    <w:tblStylePr w:type="lastRow">
      <w:rPr>
        <w:b/>
        <w:bCs/>
        <w:color w:val="1A1A1A" w:themeColor="text1"/>
      </w:rPr>
      <w:tblPr/>
      <w:tcPr>
        <w:shd w:val="clear" w:color="auto" w:fill="6AA2E7" w:themeFill="accent1" w:themeFillTint="66"/>
      </w:tcPr>
    </w:tblStylePr>
    <w:tblStylePr w:type="firstCol">
      <w:rPr>
        <w:color w:val="FFFFFF" w:themeColor="background1"/>
      </w:rPr>
      <w:tblPr/>
      <w:tcPr>
        <w:shd w:val="clear" w:color="auto" w:fill="081B33" w:themeFill="accent1" w:themeFillShade="BF"/>
      </w:tcPr>
    </w:tblStylePr>
    <w:tblStylePr w:type="lastCol">
      <w:rPr>
        <w:color w:val="FFFFFF" w:themeColor="background1"/>
      </w:rPr>
      <w:tblPr/>
      <w:tcPr>
        <w:shd w:val="clear" w:color="auto" w:fill="081B33" w:themeFill="accent1" w:themeFillShade="BF"/>
      </w:tcPr>
    </w:tblStylePr>
    <w:tblStylePr w:type="band1Vert">
      <w:tblPr/>
      <w:tcPr>
        <w:shd w:val="clear" w:color="auto" w:fill="468BE1" w:themeFill="accent1" w:themeFillTint="7F"/>
      </w:tcPr>
    </w:tblStylePr>
    <w:tblStylePr w:type="band1Horz">
      <w:tblPr/>
      <w:tcPr>
        <w:shd w:val="clear" w:color="auto" w:fill="468BE1"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CE1E6" w:themeFill="accent2" w:themeFillTint="33"/>
    </w:tcPr>
    <w:tblStylePr w:type="firstRow">
      <w:rPr>
        <w:b/>
        <w:bCs/>
      </w:rPr>
      <w:tblPr/>
      <w:tcPr>
        <w:shd w:val="clear" w:color="auto" w:fill="BAC3CD" w:themeFill="accent2" w:themeFillTint="66"/>
      </w:tcPr>
    </w:tblStylePr>
    <w:tblStylePr w:type="lastRow">
      <w:rPr>
        <w:b/>
        <w:bCs/>
        <w:color w:val="1A1A1A" w:themeColor="text1"/>
      </w:rPr>
      <w:tblPr/>
      <w:tcPr>
        <w:shd w:val="clear" w:color="auto" w:fill="BAC3CD" w:themeFill="accent2" w:themeFillTint="66"/>
      </w:tcPr>
    </w:tblStylePr>
    <w:tblStylePr w:type="firstCol">
      <w:rPr>
        <w:color w:val="FFFFFF" w:themeColor="background1"/>
      </w:rPr>
      <w:tblPr/>
      <w:tcPr>
        <w:shd w:val="clear" w:color="auto" w:fill="43505D" w:themeFill="accent2" w:themeFillShade="BF"/>
      </w:tcPr>
    </w:tblStylePr>
    <w:tblStylePr w:type="lastCol">
      <w:rPr>
        <w:color w:val="FFFFFF" w:themeColor="background1"/>
      </w:rPr>
      <w:tblPr/>
      <w:tcPr>
        <w:shd w:val="clear" w:color="auto" w:fill="43505D" w:themeFill="accent2" w:themeFillShade="BF"/>
      </w:tcPr>
    </w:tblStylePr>
    <w:tblStylePr w:type="band1Vert">
      <w:tblPr/>
      <w:tcPr>
        <w:shd w:val="clear" w:color="auto" w:fill="A9B5C1" w:themeFill="accent2" w:themeFillTint="7F"/>
      </w:tcPr>
    </w:tblStylePr>
    <w:tblStylePr w:type="band1Horz">
      <w:tblPr/>
      <w:tcPr>
        <w:shd w:val="clear" w:color="auto" w:fill="A9B5C1"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3" w:themeFillTint="33"/>
    </w:tcPr>
    <w:tblStylePr w:type="firstRow">
      <w:rPr>
        <w:b/>
        <w:bCs/>
      </w:rPr>
      <w:tblPr/>
      <w:tcPr>
        <w:shd w:val="clear" w:color="auto" w:fill="6AA2E7" w:themeFill="accent3" w:themeFillTint="66"/>
      </w:tcPr>
    </w:tblStylePr>
    <w:tblStylePr w:type="lastRow">
      <w:rPr>
        <w:b/>
        <w:bCs/>
        <w:color w:val="1A1A1A" w:themeColor="text1"/>
      </w:rPr>
      <w:tblPr/>
      <w:tcPr>
        <w:shd w:val="clear" w:color="auto" w:fill="6AA2E7" w:themeFill="accent3" w:themeFillTint="66"/>
      </w:tcPr>
    </w:tblStylePr>
    <w:tblStylePr w:type="firstCol">
      <w:rPr>
        <w:color w:val="FFFFFF" w:themeColor="background1"/>
      </w:rPr>
      <w:tblPr/>
      <w:tcPr>
        <w:shd w:val="clear" w:color="auto" w:fill="081B33" w:themeFill="accent3" w:themeFillShade="BF"/>
      </w:tcPr>
    </w:tblStylePr>
    <w:tblStylePr w:type="lastCol">
      <w:rPr>
        <w:color w:val="FFFFFF" w:themeColor="background1"/>
      </w:rPr>
      <w:tblPr/>
      <w:tcPr>
        <w:shd w:val="clear" w:color="auto" w:fill="081B33" w:themeFill="accent3" w:themeFillShade="BF"/>
      </w:tcPr>
    </w:tblStylePr>
    <w:tblStylePr w:type="band1Vert">
      <w:tblPr/>
      <w:tcPr>
        <w:shd w:val="clear" w:color="auto" w:fill="468BE1" w:themeFill="accent3" w:themeFillTint="7F"/>
      </w:tcPr>
    </w:tblStylePr>
    <w:tblStylePr w:type="band1Horz">
      <w:tblPr/>
      <w:tcPr>
        <w:shd w:val="clear" w:color="auto" w:fill="468BE1"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4" w:themeFillTint="33"/>
    </w:tcPr>
    <w:tblStylePr w:type="firstRow">
      <w:rPr>
        <w:b/>
        <w:bCs/>
      </w:rPr>
      <w:tblPr/>
      <w:tcPr>
        <w:shd w:val="clear" w:color="auto" w:fill="6AA2E7" w:themeFill="accent4" w:themeFillTint="66"/>
      </w:tcPr>
    </w:tblStylePr>
    <w:tblStylePr w:type="lastRow">
      <w:rPr>
        <w:b/>
        <w:bCs/>
        <w:color w:val="1A1A1A" w:themeColor="text1"/>
      </w:rPr>
      <w:tblPr/>
      <w:tcPr>
        <w:shd w:val="clear" w:color="auto" w:fill="6AA2E7" w:themeFill="accent4" w:themeFillTint="66"/>
      </w:tcPr>
    </w:tblStylePr>
    <w:tblStylePr w:type="firstCol">
      <w:rPr>
        <w:color w:val="FFFFFF" w:themeColor="background1"/>
      </w:rPr>
      <w:tblPr/>
      <w:tcPr>
        <w:shd w:val="clear" w:color="auto" w:fill="081B33" w:themeFill="accent4" w:themeFillShade="BF"/>
      </w:tcPr>
    </w:tblStylePr>
    <w:tblStylePr w:type="lastCol">
      <w:rPr>
        <w:color w:val="FFFFFF" w:themeColor="background1"/>
      </w:rPr>
      <w:tblPr/>
      <w:tcPr>
        <w:shd w:val="clear" w:color="auto" w:fill="081B33" w:themeFill="accent4" w:themeFillShade="BF"/>
      </w:tcPr>
    </w:tblStylePr>
    <w:tblStylePr w:type="band1Vert">
      <w:tblPr/>
      <w:tcPr>
        <w:shd w:val="clear" w:color="auto" w:fill="468BE1" w:themeFill="accent4" w:themeFillTint="7F"/>
      </w:tcPr>
    </w:tblStylePr>
    <w:tblStylePr w:type="band1Horz">
      <w:tblPr/>
      <w:tcPr>
        <w:shd w:val="clear" w:color="auto" w:fill="468BE1"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5" w:themeFillTint="33"/>
    </w:tcPr>
    <w:tblStylePr w:type="firstRow">
      <w:rPr>
        <w:b/>
        <w:bCs/>
      </w:rPr>
      <w:tblPr/>
      <w:tcPr>
        <w:shd w:val="clear" w:color="auto" w:fill="6AA2E7" w:themeFill="accent5" w:themeFillTint="66"/>
      </w:tcPr>
    </w:tblStylePr>
    <w:tblStylePr w:type="lastRow">
      <w:rPr>
        <w:b/>
        <w:bCs/>
        <w:color w:val="1A1A1A" w:themeColor="text1"/>
      </w:rPr>
      <w:tblPr/>
      <w:tcPr>
        <w:shd w:val="clear" w:color="auto" w:fill="6AA2E7" w:themeFill="accent5" w:themeFillTint="66"/>
      </w:tcPr>
    </w:tblStylePr>
    <w:tblStylePr w:type="firstCol">
      <w:rPr>
        <w:color w:val="FFFFFF" w:themeColor="background1"/>
      </w:rPr>
      <w:tblPr/>
      <w:tcPr>
        <w:shd w:val="clear" w:color="auto" w:fill="081B33" w:themeFill="accent5" w:themeFillShade="BF"/>
      </w:tcPr>
    </w:tblStylePr>
    <w:tblStylePr w:type="lastCol">
      <w:rPr>
        <w:color w:val="FFFFFF" w:themeColor="background1"/>
      </w:rPr>
      <w:tblPr/>
      <w:tcPr>
        <w:shd w:val="clear" w:color="auto" w:fill="081B33" w:themeFill="accent5" w:themeFillShade="BF"/>
      </w:tcPr>
    </w:tblStylePr>
    <w:tblStylePr w:type="band1Vert">
      <w:tblPr/>
      <w:tcPr>
        <w:shd w:val="clear" w:color="auto" w:fill="468BE1" w:themeFill="accent5" w:themeFillTint="7F"/>
      </w:tcPr>
    </w:tblStylePr>
    <w:tblStylePr w:type="band1Horz">
      <w:tblPr/>
      <w:tcPr>
        <w:shd w:val="clear" w:color="auto" w:fill="468BE1"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B4D0F3" w:themeFill="accent6" w:themeFillTint="33"/>
    </w:tcPr>
    <w:tblStylePr w:type="firstRow">
      <w:rPr>
        <w:b/>
        <w:bCs/>
      </w:rPr>
      <w:tblPr/>
      <w:tcPr>
        <w:shd w:val="clear" w:color="auto" w:fill="6AA2E7" w:themeFill="accent6" w:themeFillTint="66"/>
      </w:tcPr>
    </w:tblStylePr>
    <w:tblStylePr w:type="lastRow">
      <w:rPr>
        <w:b/>
        <w:bCs/>
        <w:color w:val="1A1A1A" w:themeColor="text1"/>
      </w:rPr>
      <w:tblPr/>
      <w:tcPr>
        <w:shd w:val="clear" w:color="auto" w:fill="6AA2E7" w:themeFill="accent6" w:themeFillTint="66"/>
      </w:tcPr>
    </w:tblStylePr>
    <w:tblStylePr w:type="firstCol">
      <w:rPr>
        <w:color w:val="FFFFFF" w:themeColor="background1"/>
      </w:rPr>
      <w:tblPr/>
      <w:tcPr>
        <w:shd w:val="clear" w:color="auto" w:fill="081B33" w:themeFill="accent6" w:themeFillShade="BF"/>
      </w:tcPr>
    </w:tblStylePr>
    <w:tblStylePr w:type="lastCol">
      <w:rPr>
        <w:color w:val="FFFFFF" w:themeColor="background1"/>
      </w:rPr>
      <w:tblPr/>
      <w:tcPr>
        <w:shd w:val="clear" w:color="auto" w:fill="081B33" w:themeFill="accent6" w:themeFillShade="BF"/>
      </w:tcPr>
    </w:tblStylePr>
    <w:tblStylePr w:type="band1Vert">
      <w:tblPr/>
      <w:tcPr>
        <w:shd w:val="clear" w:color="auto" w:fill="468BE1" w:themeFill="accent6" w:themeFillTint="7F"/>
      </w:tcPr>
    </w:tblStylePr>
    <w:tblStylePr w:type="band1Horz">
      <w:tblPr/>
      <w:tcPr>
        <w:shd w:val="clear" w:color="auto" w:fill="468BE1"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0B2545">
      <a:dk1>
        <a:srgbClr val="1A1A1A"/>
      </a:dk1>
      <a:lt1>
        <a:srgbClr val="FFFFFF"/>
      </a:lt1>
      <a:dk2>
        <a:srgbClr val="0B2545"/>
      </a:dk2>
      <a:lt2>
        <a:srgbClr val="EEECE1"/>
      </a:lt2>
      <a:accent1>
        <a:srgbClr val="0B2545"/>
      </a:accent1>
      <a:accent2>
        <a:srgbClr val="5A6B7D"/>
      </a:accent2>
      <a:accent3>
        <a:srgbClr val="0B2545"/>
      </a:accent3>
      <a:accent4>
        <a:srgbClr val="0B2545"/>
      </a:accent4>
      <a:accent5>
        <a:srgbClr val="0B2545"/>
      </a:accent5>
      <a:accent6>
        <a:srgbClr val="0B2545"/>
      </a:accent6>
      <a:hlink>
        <a:srgbClr val="0B2545"/>
      </a:hlink>
      <a:folHlink>
        <a:srgbClr val="5A6B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Lorette Roos</lastModifiedBy>
  <revision>4</revision>
  <dcterms:created xsi:type="dcterms:W3CDTF">2026-10-19T05:01:00.0000000Z</dcterms:created>
  <dcterms:modified xsi:type="dcterms:W3CDTF">2026-10-21T10:04:21.2163570Z</dcterms:modified>
  <category/>
</coreProperties>
</file>