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28E6" w14:textId="1A62286C" w:rsidR="00B04041" w:rsidRDefault="00B04041" w:rsidP="00C22CA2">
      <w:pPr>
        <w:spacing w:line="240" w:lineRule="atLeast"/>
        <w:jc w:val="both"/>
        <w:rPr>
          <w:sz w:val="20"/>
        </w:rPr>
      </w:pPr>
      <w:r w:rsidRPr="00B04041">
        <w:rPr>
          <w:b/>
          <w:sz w:val="20"/>
        </w:rPr>
        <w:t>Cadence observations supporting NASA</w:t>
      </w:r>
      <w:r w:rsidR="00671725">
        <w:rPr>
          <w:b/>
          <w:sz w:val="20"/>
        </w:rPr>
        <w:t>/ESA</w:t>
      </w:r>
      <w:r w:rsidRPr="00B04041">
        <w:rPr>
          <w:b/>
          <w:sz w:val="20"/>
        </w:rPr>
        <w:t xml:space="preserve"> planetary exploration</w:t>
      </w:r>
      <w:r>
        <w:rPr>
          <w:b/>
          <w:sz w:val="20"/>
        </w:rPr>
        <w:t>.</w:t>
      </w:r>
      <w:r w:rsidR="00C22CA2">
        <w:rPr>
          <w:sz w:val="20"/>
        </w:rPr>
        <w:t xml:space="preserve">  </w:t>
      </w:r>
    </w:p>
    <w:p w14:paraId="2995B487" w14:textId="16AF5A7A" w:rsidR="00C22CA2" w:rsidRDefault="00B04041" w:rsidP="00C22CA2">
      <w:pPr>
        <w:spacing w:line="240" w:lineRule="atLeast"/>
        <w:jc w:val="both"/>
        <w:rPr>
          <w:sz w:val="20"/>
        </w:rPr>
      </w:pPr>
      <w:r>
        <w:rPr>
          <w:sz w:val="20"/>
        </w:rPr>
        <w:t>Michael H. Wong</w:t>
      </w:r>
      <w:r w:rsidR="00671725">
        <w:rPr>
          <w:sz w:val="20"/>
        </w:rPr>
        <w:t xml:space="preserve"> (UC Berkeley) and Al Conrad (LBT)</w:t>
      </w:r>
    </w:p>
    <w:p w14:paraId="6F3B69E5" w14:textId="77777777" w:rsidR="00C22CA2" w:rsidRDefault="00C22CA2" w:rsidP="00C22CA2">
      <w:pPr>
        <w:spacing w:line="240" w:lineRule="atLeast"/>
        <w:ind w:firstLine="288"/>
        <w:jc w:val="both"/>
        <w:rPr>
          <w:sz w:val="20"/>
        </w:rPr>
      </w:pPr>
    </w:p>
    <w:p w14:paraId="555A61A3" w14:textId="77777777" w:rsidR="00C22CA2" w:rsidRDefault="00C22CA2" w:rsidP="00C22CA2">
      <w:pPr>
        <w:spacing w:line="240" w:lineRule="atLeast"/>
        <w:ind w:firstLine="288"/>
        <w:jc w:val="both"/>
        <w:rPr>
          <w:sz w:val="20"/>
        </w:rPr>
      </w:pPr>
    </w:p>
    <w:p w14:paraId="07609631" w14:textId="77777777" w:rsidR="00C22CA2" w:rsidRDefault="00C22CA2" w:rsidP="00C22CA2">
      <w:pPr>
        <w:spacing w:line="240" w:lineRule="atLeast"/>
        <w:ind w:firstLine="288"/>
        <w:jc w:val="both"/>
        <w:rPr>
          <w:sz w:val="20"/>
        </w:rPr>
        <w:sectPr w:rsidR="00C22CA2">
          <w:headerReference w:type="even" r:id="rId8"/>
          <w:footerReference w:type="even" r:id="rId9"/>
          <w:pgSz w:w="12240" w:h="15840"/>
          <w:pgMar w:top="1440" w:right="1440" w:bottom="1440" w:left="1440" w:header="720" w:footer="720" w:gutter="0"/>
          <w:cols w:space="720"/>
          <w:docGrid w:linePitch="360"/>
        </w:sectPr>
      </w:pPr>
    </w:p>
    <w:p w14:paraId="7FE890F1" w14:textId="32D171B4" w:rsidR="00C22CA2" w:rsidRDefault="00671725" w:rsidP="00671725">
      <w:pPr>
        <w:spacing w:line="240" w:lineRule="atLeast"/>
        <w:ind w:firstLine="288"/>
        <w:jc w:val="both"/>
        <w:rPr>
          <w:sz w:val="20"/>
        </w:rPr>
      </w:pPr>
      <w:r>
        <w:rPr>
          <w:b/>
          <w:sz w:val="20"/>
        </w:rPr>
        <w:t>Summary</w:t>
      </w:r>
      <w:r w:rsidR="00C22CA2" w:rsidRPr="00C22CA2">
        <w:rPr>
          <w:b/>
          <w:sz w:val="20"/>
        </w:rPr>
        <w:t>:</w:t>
      </w:r>
      <w:r w:rsidR="00C22CA2" w:rsidRPr="00C22CA2">
        <w:rPr>
          <w:sz w:val="20"/>
        </w:rPr>
        <w:t xml:space="preserve">  </w:t>
      </w:r>
      <w:r>
        <w:rPr>
          <w:sz w:val="20"/>
        </w:rPr>
        <w:t>Spacecraft exploration of the solar system is a high-profile activity that benefits from temporal context observations from space telescopes. Science from current and past missions has been extended by imaging and spectroscopic time-series data from HST, and JWST’s unique capabilities may play a similar role for future spacecraft missions.</w:t>
      </w:r>
    </w:p>
    <w:p w14:paraId="77080698" w14:textId="77777777" w:rsidR="00671725" w:rsidRPr="00C22CA2" w:rsidRDefault="00671725" w:rsidP="00671725">
      <w:pPr>
        <w:spacing w:line="240" w:lineRule="atLeast"/>
        <w:ind w:firstLine="288"/>
        <w:jc w:val="both"/>
        <w:rPr>
          <w:sz w:val="20"/>
        </w:rPr>
      </w:pPr>
    </w:p>
    <w:p w14:paraId="180D576D" w14:textId="5A277D3F" w:rsidR="00C22CA2" w:rsidRDefault="00671725" w:rsidP="00C22CA2">
      <w:pPr>
        <w:spacing w:line="240" w:lineRule="atLeast"/>
        <w:ind w:firstLine="288"/>
        <w:jc w:val="both"/>
        <w:rPr>
          <w:sz w:val="20"/>
        </w:rPr>
      </w:pPr>
      <w:r>
        <w:rPr>
          <w:b/>
          <w:sz w:val="20"/>
        </w:rPr>
        <w:t>Successful examples</w:t>
      </w:r>
      <w:r w:rsidR="00C22CA2" w:rsidRPr="00C22CA2">
        <w:rPr>
          <w:b/>
          <w:sz w:val="20"/>
        </w:rPr>
        <w:t>:</w:t>
      </w:r>
      <w:r w:rsidR="00C22CA2" w:rsidRPr="00C22CA2">
        <w:rPr>
          <w:sz w:val="20"/>
        </w:rPr>
        <w:t xml:space="preserve">  </w:t>
      </w:r>
      <w:r w:rsidR="00757ECC">
        <w:rPr>
          <w:sz w:val="20"/>
        </w:rPr>
        <w:t>We use two specific cases to illustrate past/current examples of specific programs that support and extend spacecraft observations in the outer solar system. Many other cases could be made if there were more space available.</w:t>
      </w:r>
    </w:p>
    <w:p w14:paraId="2CD7AD21" w14:textId="604305F3" w:rsidR="00757ECC" w:rsidRDefault="00671725" w:rsidP="00671725">
      <w:pPr>
        <w:pStyle w:val="ListParagraph"/>
        <w:numPr>
          <w:ilvl w:val="0"/>
          <w:numId w:val="1"/>
        </w:numPr>
        <w:spacing w:line="240" w:lineRule="atLeast"/>
        <w:jc w:val="both"/>
        <w:rPr>
          <w:sz w:val="20"/>
        </w:rPr>
      </w:pPr>
      <w:r w:rsidRPr="00671725">
        <w:rPr>
          <w:i/>
          <w:iCs/>
          <w:sz w:val="20"/>
        </w:rPr>
        <w:t>Juno at Jupiter:</w:t>
      </w:r>
      <w:r>
        <w:rPr>
          <w:sz w:val="20"/>
        </w:rPr>
        <w:t xml:space="preserve"> </w:t>
      </w:r>
      <w:r w:rsidR="00757ECC">
        <w:rPr>
          <w:sz w:val="20"/>
        </w:rPr>
        <w:t xml:space="preserve">Juno is making unique discoveries at Jupiter thanks to its instrument suite and its highly eccentric polar orbit. Measurements over a range of distances sample different regions of the magnetosphere, while HST observations have been able to link auroral phenomena that map along field lines to the changing spacecraft location </w:t>
      </w:r>
      <w:r w:rsidR="00757ECC" w:rsidRPr="00757ECC">
        <w:rPr>
          <w:color w:val="0000FF"/>
          <w:sz w:val="20"/>
        </w:rPr>
        <w:t>[</w:t>
      </w:r>
      <w:proofErr w:type="spellStart"/>
      <w:r w:rsidR="00757ECC" w:rsidRPr="00757ECC">
        <w:rPr>
          <w:color w:val="0000FF"/>
          <w:sz w:val="20"/>
        </w:rPr>
        <w:t>bonfond</w:t>
      </w:r>
      <w:proofErr w:type="spellEnd"/>
      <w:r w:rsidR="00757ECC" w:rsidRPr="00757ECC">
        <w:rPr>
          <w:color w:val="0000FF"/>
          <w:sz w:val="20"/>
        </w:rPr>
        <w:t xml:space="preserve"> etc.]</w:t>
      </w:r>
      <w:r w:rsidR="00757ECC">
        <w:rPr>
          <w:sz w:val="20"/>
        </w:rPr>
        <w:t xml:space="preserve">. In some cases, HST visible-wavelength context imaging was able to identify cyclonic vortices as the sites of </w:t>
      </w:r>
      <w:proofErr w:type="spellStart"/>
      <w:r w:rsidR="00757ECC">
        <w:rPr>
          <w:sz w:val="20"/>
        </w:rPr>
        <w:t>tranient</w:t>
      </w:r>
      <w:proofErr w:type="spellEnd"/>
      <w:r w:rsidR="00757ECC">
        <w:rPr>
          <w:sz w:val="20"/>
        </w:rPr>
        <w:t xml:space="preserve"> luminous events seen by Juno in the UV </w:t>
      </w:r>
      <w:r w:rsidR="00757ECC" w:rsidRPr="00757ECC">
        <w:rPr>
          <w:color w:val="0000FF"/>
          <w:sz w:val="20"/>
        </w:rPr>
        <w:t>[</w:t>
      </w:r>
      <w:proofErr w:type="spellStart"/>
      <w:r w:rsidR="00757ECC" w:rsidRPr="00757ECC">
        <w:rPr>
          <w:color w:val="0000FF"/>
          <w:sz w:val="20"/>
        </w:rPr>
        <w:t>giles</w:t>
      </w:r>
      <w:proofErr w:type="spellEnd"/>
      <w:r w:rsidR="00757ECC" w:rsidRPr="00757ECC">
        <w:rPr>
          <w:color w:val="0000FF"/>
          <w:sz w:val="20"/>
        </w:rPr>
        <w:t>]</w:t>
      </w:r>
      <w:r w:rsidR="00757ECC">
        <w:rPr>
          <w:sz w:val="20"/>
        </w:rPr>
        <w:t xml:space="preserve">, deep density reversals in vortices detected by the MWR </w:t>
      </w:r>
      <w:r w:rsidR="00757ECC" w:rsidRPr="00757ECC">
        <w:rPr>
          <w:color w:val="0000FF"/>
          <w:sz w:val="20"/>
        </w:rPr>
        <w:t>[</w:t>
      </w:r>
      <w:proofErr w:type="spellStart"/>
      <w:r w:rsidR="00757ECC" w:rsidRPr="00757ECC">
        <w:rPr>
          <w:color w:val="0000FF"/>
          <w:sz w:val="20"/>
        </w:rPr>
        <w:t>bolton</w:t>
      </w:r>
      <w:proofErr w:type="spellEnd"/>
      <w:r w:rsidR="00757ECC" w:rsidRPr="00757ECC">
        <w:rPr>
          <w:color w:val="0000FF"/>
          <w:sz w:val="20"/>
        </w:rPr>
        <w:t>]</w:t>
      </w:r>
      <w:r w:rsidR="00757ECC">
        <w:rPr>
          <w:sz w:val="20"/>
        </w:rPr>
        <w:t xml:space="preserve">, and convective storms associated with lightning clusters </w:t>
      </w:r>
      <w:r w:rsidR="00757ECC" w:rsidRPr="00757ECC">
        <w:rPr>
          <w:color w:val="0000FF"/>
          <w:sz w:val="20"/>
        </w:rPr>
        <w:t>[</w:t>
      </w:r>
      <w:proofErr w:type="gramStart"/>
      <w:r w:rsidR="00757ECC" w:rsidRPr="00757ECC">
        <w:rPr>
          <w:color w:val="0000FF"/>
          <w:sz w:val="20"/>
        </w:rPr>
        <w:t>imai,wong</w:t>
      </w:r>
      <w:proofErr w:type="gramEnd"/>
      <w:r w:rsidR="00757ECC" w:rsidRPr="00757ECC">
        <w:rPr>
          <w:color w:val="0000FF"/>
          <w:sz w:val="20"/>
        </w:rPr>
        <w:t>20,23]</w:t>
      </w:r>
      <w:r w:rsidR="00757ECC">
        <w:rPr>
          <w:sz w:val="20"/>
        </w:rPr>
        <w:t>. The specific science results from Juno were not known in advance, but the science was enhanced by cadence observations from HST.</w:t>
      </w:r>
    </w:p>
    <w:p w14:paraId="282E251C" w14:textId="1B6D0FA8" w:rsidR="00671725" w:rsidRPr="00671725" w:rsidRDefault="00671725" w:rsidP="00671725">
      <w:pPr>
        <w:pStyle w:val="ListParagraph"/>
        <w:numPr>
          <w:ilvl w:val="0"/>
          <w:numId w:val="1"/>
        </w:numPr>
        <w:spacing w:line="240" w:lineRule="atLeast"/>
        <w:jc w:val="both"/>
        <w:rPr>
          <w:sz w:val="20"/>
        </w:rPr>
      </w:pPr>
      <w:r w:rsidRPr="00671725">
        <w:rPr>
          <w:i/>
          <w:iCs/>
          <w:sz w:val="20"/>
        </w:rPr>
        <w:t>Voyager at Neptune:</w:t>
      </w:r>
      <w:r>
        <w:rPr>
          <w:sz w:val="20"/>
        </w:rPr>
        <w:t xml:space="preserve"> </w:t>
      </w:r>
      <w:r w:rsidR="009D6F41">
        <w:rPr>
          <w:sz w:val="20"/>
        </w:rPr>
        <w:t xml:space="preserve">HST did not come online until years after the Voyager Neptune encounters. Still, it became the only facility capable of following up on Voyager’s discovery of two </w:t>
      </w:r>
      <w:r>
        <w:rPr>
          <w:sz w:val="20"/>
        </w:rPr>
        <w:t xml:space="preserve">dark </w:t>
      </w:r>
      <w:r w:rsidR="009D6F41">
        <w:rPr>
          <w:sz w:val="20"/>
        </w:rPr>
        <w:t xml:space="preserve">vortices on Neptune </w:t>
      </w:r>
      <w:r w:rsidR="009D6F41" w:rsidRPr="009D6F41">
        <w:rPr>
          <w:color w:val="0000FF"/>
          <w:sz w:val="20"/>
        </w:rPr>
        <w:t>[smith]</w:t>
      </w:r>
      <w:r w:rsidR="009D6F41">
        <w:rPr>
          <w:sz w:val="20"/>
        </w:rPr>
        <w:t xml:space="preserve">, a type of phenomenon now known to persist for only 2–4 years thanks to long-term HST observations </w:t>
      </w:r>
      <w:r w:rsidR="009D6F41" w:rsidRPr="009D6F41">
        <w:rPr>
          <w:color w:val="0000FF"/>
          <w:sz w:val="20"/>
        </w:rPr>
        <w:t>[</w:t>
      </w:r>
      <w:proofErr w:type="spellStart"/>
      <w:r w:rsidR="009D6F41" w:rsidRPr="009D6F41">
        <w:rPr>
          <w:color w:val="0000FF"/>
          <w:sz w:val="20"/>
        </w:rPr>
        <w:t>hsu</w:t>
      </w:r>
      <w:proofErr w:type="spellEnd"/>
      <w:r w:rsidR="009D6F41" w:rsidRPr="009D6F41">
        <w:rPr>
          <w:color w:val="0000FF"/>
          <w:sz w:val="20"/>
        </w:rPr>
        <w:t>].</w:t>
      </w:r>
      <w:r w:rsidR="009D6F41">
        <w:rPr>
          <w:sz w:val="20"/>
        </w:rPr>
        <w:t xml:space="preserve"> </w:t>
      </w:r>
    </w:p>
    <w:p w14:paraId="1F75A39C" w14:textId="77777777" w:rsidR="00671725" w:rsidRDefault="00671725" w:rsidP="00C22CA2">
      <w:pPr>
        <w:spacing w:line="240" w:lineRule="atLeast"/>
        <w:ind w:firstLine="288"/>
        <w:jc w:val="both"/>
        <w:rPr>
          <w:b/>
          <w:sz w:val="20"/>
        </w:rPr>
      </w:pPr>
    </w:p>
    <w:p w14:paraId="52DFBD66" w14:textId="09F1E1F1" w:rsidR="00C22CA2" w:rsidRDefault="00671725" w:rsidP="00C22CA2">
      <w:pPr>
        <w:spacing w:line="240" w:lineRule="atLeast"/>
        <w:ind w:firstLine="288"/>
        <w:jc w:val="both"/>
        <w:rPr>
          <w:sz w:val="20"/>
        </w:rPr>
      </w:pPr>
      <w:r>
        <w:rPr>
          <w:b/>
          <w:sz w:val="20"/>
        </w:rPr>
        <w:t>Future opportunities</w:t>
      </w:r>
      <w:r w:rsidR="00C22CA2" w:rsidRPr="00C22CA2">
        <w:rPr>
          <w:b/>
          <w:sz w:val="20"/>
        </w:rPr>
        <w:t>:</w:t>
      </w:r>
      <w:r w:rsidR="00C22CA2" w:rsidRPr="00C22CA2">
        <w:rPr>
          <w:sz w:val="20"/>
        </w:rPr>
        <w:t xml:space="preserve">  </w:t>
      </w:r>
      <w:r>
        <w:rPr>
          <w:sz w:val="20"/>
        </w:rPr>
        <w:t>Upcoming missions</w:t>
      </w:r>
      <w:r w:rsidR="00C22CA2" w:rsidRPr="00C22CA2">
        <w:rPr>
          <w:sz w:val="20"/>
        </w:rPr>
        <w:t>:</w:t>
      </w:r>
    </w:p>
    <w:p w14:paraId="6458451B" w14:textId="37588380" w:rsidR="00671725" w:rsidRPr="00671725" w:rsidRDefault="00671725" w:rsidP="00671725">
      <w:pPr>
        <w:pStyle w:val="ListParagraph"/>
        <w:numPr>
          <w:ilvl w:val="0"/>
          <w:numId w:val="1"/>
        </w:numPr>
        <w:spacing w:line="240" w:lineRule="atLeast"/>
        <w:jc w:val="both"/>
        <w:rPr>
          <w:sz w:val="20"/>
        </w:rPr>
      </w:pPr>
      <w:r>
        <w:rPr>
          <w:i/>
          <w:iCs/>
          <w:sz w:val="20"/>
        </w:rPr>
        <w:t>Europa</w:t>
      </w:r>
      <w:r w:rsidRPr="00671725">
        <w:rPr>
          <w:i/>
          <w:iCs/>
          <w:sz w:val="20"/>
        </w:rPr>
        <w:t>:</w:t>
      </w:r>
      <w:r>
        <w:rPr>
          <w:sz w:val="20"/>
        </w:rPr>
        <w:t xml:space="preserve"> </w:t>
      </w:r>
      <w:r w:rsidR="00757ECC">
        <w:rPr>
          <w:sz w:val="20"/>
        </w:rPr>
        <w:t xml:space="preserve">Missions to </w:t>
      </w:r>
      <w:r w:rsidRPr="00671725">
        <w:rPr>
          <w:sz w:val="20"/>
        </w:rPr>
        <w:t xml:space="preserve">Europa </w:t>
      </w:r>
      <w:r w:rsidR="00757ECC">
        <w:rPr>
          <w:sz w:val="20"/>
        </w:rPr>
        <w:t xml:space="preserve">include ESA JUICE (launched April 2023) and NASA </w:t>
      </w:r>
      <w:r w:rsidRPr="00671725">
        <w:rPr>
          <w:sz w:val="20"/>
        </w:rPr>
        <w:t xml:space="preserve">Europa Clipper </w:t>
      </w:r>
      <w:r w:rsidR="00757ECC">
        <w:rPr>
          <w:sz w:val="20"/>
        </w:rPr>
        <w:t xml:space="preserve">(launching October </w:t>
      </w:r>
      <w:r w:rsidRPr="00671725">
        <w:rPr>
          <w:sz w:val="20"/>
        </w:rPr>
        <w:t>2024)</w:t>
      </w:r>
      <w:r w:rsidR="00757ECC">
        <w:rPr>
          <w:sz w:val="20"/>
        </w:rPr>
        <w:t xml:space="preserve">. </w:t>
      </w:r>
      <w:r w:rsidRPr="00671725">
        <w:rPr>
          <w:sz w:val="20"/>
        </w:rPr>
        <w:t>Learning more about the composition of Europa plumes will support Europa Clipper mission planners</w:t>
      </w:r>
      <w:r w:rsidR="00757ECC">
        <w:rPr>
          <w:sz w:val="20"/>
        </w:rPr>
        <w:t xml:space="preserve"> </w:t>
      </w:r>
      <w:r w:rsidR="00757ECC" w:rsidRPr="00757ECC">
        <w:rPr>
          <w:color w:val="0000FF"/>
          <w:sz w:val="20"/>
        </w:rPr>
        <w:t>[Fig. 1]</w:t>
      </w:r>
      <w:r w:rsidRPr="00671725">
        <w:rPr>
          <w:sz w:val="20"/>
        </w:rPr>
        <w:t xml:space="preserve">.  It should be possible to use </w:t>
      </w:r>
      <w:r w:rsidR="00757ECC">
        <w:rPr>
          <w:sz w:val="20"/>
        </w:rPr>
        <w:t>JWST</w:t>
      </w:r>
      <w:r w:rsidRPr="00671725">
        <w:rPr>
          <w:sz w:val="20"/>
        </w:rPr>
        <w:t xml:space="preserve"> to find plume sources on the surface.   Attempts to measure plume composition by taking spectra must be at a regular cadence because </w:t>
      </w:r>
      <w:r w:rsidR="00757ECC">
        <w:rPr>
          <w:sz w:val="20"/>
        </w:rPr>
        <w:t>plume occurrence times and frequencies are not currently known</w:t>
      </w:r>
      <w:r w:rsidRPr="00671725">
        <w:rPr>
          <w:sz w:val="20"/>
        </w:rPr>
        <w:t>.</w:t>
      </w:r>
      <w:r>
        <w:rPr>
          <w:sz w:val="20"/>
        </w:rPr>
        <w:t xml:space="preserve"> </w:t>
      </w:r>
    </w:p>
    <w:p w14:paraId="29600868" w14:textId="7EEA67E4" w:rsidR="00671725" w:rsidRPr="00671725" w:rsidRDefault="00671725" w:rsidP="00671725">
      <w:pPr>
        <w:pStyle w:val="ListParagraph"/>
        <w:numPr>
          <w:ilvl w:val="0"/>
          <w:numId w:val="1"/>
        </w:numPr>
        <w:spacing w:line="240" w:lineRule="atLeast"/>
        <w:jc w:val="both"/>
        <w:rPr>
          <w:sz w:val="20"/>
        </w:rPr>
      </w:pPr>
      <w:r>
        <w:rPr>
          <w:i/>
          <w:iCs/>
          <w:sz w:val="20"/>
        </w:rPr>
        <w:t>Titan</w:t>
      </w:r>
      <w:r w:rsidRPr="00671725">
        <w:rPr>
          <w:i/>
          <w:iCs/>
          <w:sz w:val="20"/>
        </w:rPr>
        <w:t>:</w:t>
      </w:r>
      <w:r>
        <w:rPr>
          <w:sz w:val="20"/>
        </w:rPr>
        <w:t xml:space="preserve"> </w:t>
      </w:r>
      <w:r w:rsidR="00757ECC">
        <w:rPr>
          <w:sz w:val="20"/>
        </w:rPr>
        <w:t xml:space="preserve">Titan will be visited by </w:t>
      </w:r>
      <w:r w:rsidRPr="00671725">
        <w:rPr>
          <w:sz w:val="20"/>
        </w:rPr>
        <w:t xml:space="preserve">Dragonfly </w:t>
      </w:r>
      <w:r w:rsidR="00757ECC">
        <w:rPr>
          <w:sz w:val="20"/>
        </w:rPr>
        <w:t>(l</w:t>
      </w:r>
      <w:r w:rsidRPr="00671725">
        <w:rPr>
          <w:sz w:val="20"/>
        </w:rPr>
        <w:t>aunch</w:t>
      </w:r>
      <w:r w:rsidR="00757ECC">
        <w:rPr>
          <w:sz w:val="20"/>
        </w:rPr>
        <w:t>ing</w:t>
      </w:r>
      <w:r w:rsidRPr="00671725">
        <w:rPr>
          <w:sz w:val="20"/>
        </w:rPr>
        <w:t xml:space="preserve"> 2026)</w:t>
      </w:r>
      <w:r w:rsidR="00757ECC">
        <w:rPr>
          <w:sz w:val="20"/>
        </w:rPr>
        <w:t>.</w:t>
      </w:r>
      <w:r>
        <w:rPr>
          <w:sz w:val="20"/>
        </w:rPr>
        <w:t xml:space="preserve"> </w:t>
      </w:r>
      <w:r w:rsidRPr="00671725">
        <w:rPr>
          <w:sz w:val="20"/>
        </w:rPr>
        <w:t>Understanding weather systems on Titan will support Dragonfly mission planners.</w:t>
      </w:r>
      <w:r>
        <w:rPr>
          <w:sz w:val="20"/>
        </w:rPr>
        <w:t xml:space="preserve"> </w:t>
      </w:r>
      <w:r w:rsidRPr="00671725">
        <w:rPr>
          <w:sz w:val="20"/>
        </w:rPr>
        <w:t xml:space="preserve">It is possible to use </w:t>
      </w:r>
      <w:r w:rsidR="00757ECC">
        <w:rPr>
          <w:sz w:val="20"/>
        </w:rPr>
        <w:t>JWST</w:t>
      </w:r>
      <w:r w:rsidRPr="00671725">
        <w:rPr>
          <w:sz w:val="20"/>
        </w:rPr>
        <w:t xml:space="preserve"> to monitor clouds in Titan’s atmosphere</w:t>
      </w:r>
      <w:r w:rsidR="00757ECC">
        <w:rPr>
          <w:sz w:val="20"/>
        </w:rPr>
        <w:t xml:space="preserve">, with spectra enabling measurement of the opacity profiles as a function of altitude </w:t>
      </w:r>
      <w:r w:rsidR="00757ECC" w:rsidRPr="00757ECC">
        <w:rPr>
          <w:color w:val="0000FF"/>
          <w:sz w:val="20"/>
        </w:rPr>
        <w:t>[Fig. 2].</w:t>
      </w:r>
      <w:r w:rsidRPr="00671725">
        <w:rPr>
          <w:sz w:val="20"/>
        </w:rPr>
        <w:t xml:space="preserve">   To understand weather patterns on Titan, clouds must be monitored at a regular cadence.</w:t>
      </w:r>
    </w:p>
    <w:p w14:paraId="1A3AFF13" w14:textId="77777777" w:rsidR="00671725" w:rsidRPr="00C22CA2" w:rsidRDefault="00671725" w:rsidP="00C22CA2">
      <w:pPr>
        <w:spacing w:line="240" w:lineRule="atLeast"/>
        <w:ind w:firstLine="288"/>
        <w:jc w:val="both"/>
        <w:rPr>
          <w:sz w:val="20"/>
        </w:rPr>
      </w:pPr>
    </w:p>
    <w:p w14:paraId="0542EF47" w14:textId="4296DB43" w:rsidR="00671725" w:rsidRDefault="00671725" w:rsidP="00C22CA2">
      <w:pPr>
        <w:pStyle w:val="NormalWeb"/>
        <w:shd w:val="clear" w:color="auto" w:fill="FFFFFF"/>
        <w:spacing w:before="0" w:beforeAutospacing="0" w:after="0" w:afterAutospacing="0" w:line="240" w:lineRule="atLeast"/>
        <w:ind w:firstLine="288"/>
        <w:jc w:val="both"/>
        <w:rPr>
          <w:rFonts w:ascii="Times New Roman" w:hAnsi="Times New Roman" w:cs="Times New Roman"/>
          <w:bCs/>
          <w:sz w:val="20"/>
          <w:szCs w:val="20"/>
        </w:rPr>
      </w:pPr>
      <w:r>
        <w:rPr>
          <w:rStyle w:val="Strong"/>
          <w:rFonts w:ascii="Times New Roman" w:hAnsi="Times New Roman" w:cs="Times New Roman"/>
          <w:sz w:val="20"/>
          <w:szCs w:val="20"/>
          <w:bdr w:val="none" w:sz="0" w:space="0" w:color="auto" w:frame="1"/>
        </w:rPr>
        <w:t>Challenges and solutions</w:t>
      </w:r>
      <w:r w:rsidR="00C22CA2" w:rsidRPr="00C22CA2">
        <w:rPr>
          <w:rStyle w:val="Strong"/>
          <w:rFonts w:ascii="Times New Roman" w:hAnsi="Times New Roman" w:cs="Times New Roman"/>
          <w:sz w:val="20"/>
          <w:szCs w:val="20"/>
          <w:bdr w:val="none" w:sz="0" w:space="0" w:color="auto" w:frame="1"/>
        </w:rPr>
        <w:t xml:space="preserve">: </w:t>
      </w:r>
      <w:r w:rsidR="00757ECC">
        <w:rPr>
          <w:rFonts w:ascii="Times New Roman" w:hAnsi="Times New Roman" w:cs="Times New Roman"/>
          <w:bCs/>
          <w:sz w:val="20"/>
          <w:szCs w:val="20"/>
        </w:rPr>
        <w:t>Direct mission supporting observations require c</w:t>
      </w:r>
      <w:r>
        <w:rPr>
          <w:rFonts w:ascii="Times New Roman" w:hAnsi="Times New Roman" w:cs="Times New Roman"/>
          <w:bCs/>
          <w:sz w:val="20"/>
          <w:szCs w:val="20"/>
        </w:rPr>
        <w:t>ampaign duration</w:t>
      </w:r>
      <w:r w:rsidR="00757ECC">
        <w:rPr>
          <w:rFonts w:ascii="Times New Roman" w:hAnsi="Times New Roman" w:cs="Times New Roman"/>
          <w:bCs/>
          <w:sz w:val="20"/>
          <w:szCs w:val="20"/>
        </w:rPr>
        <w:t>s</w:t>
      </w:r>
      <w:r>
        <w:rPr>
          <w:rFonts w:ascii="Times New Roman" w:hAnsi="Times New Roman" w:cs="Times New Roman"/>
          <w:bCs/>
          <w:sz w:val="20"/>
          <w:szCs w:val="20"/>
        </w:rPr>
        <w:t xml:space="preserve"> </w:t>
      </w:r>
      <w:r w:rsidR="00757ECC">
        <w:rPr>
          <w:rFonts w:ascii="Times New Roman" w:hAnsi="Times New Roman" w:cs="Times New Roman"/>
          <w:bCs/>
          <w:sz w:val="20"/>
          <w:szCs w:val="20"/>
        </w:rPr>
        <w:t xml:space="preserve">of </w:t>
      </w:r>
      <w:r>
        <w:rPr>
          <w:rFonts w:ascii="Times New Roman" w:hAnsi="Times New Roman" w:cs="Times New Roman"/>
          <w:bCs/>
          <w:sz w:val="20"/>
          <w:szCs w:val="20"/>
        </w:rPr>
        <w:t>several years</w:t>
      </w:r>
      <w:r w:rsidR="00757ECC">
        <w:rPr>
          <w:rFonts w:ascii="Times New Roman" w:hAnsi="Times New Roman" w:cs="Times New Roman"/>
          <w:bCs/>
          <w:sz w:val="20"/>
          <w:szCs w:val="20"/>
        </w:rPr>
        <w:t xml:space="preserve"> (e.g., Juno entered orbit in 2016 and will continue until 2025). This is longer than possible for a single GO proposal, and TAC variability can threaten program continuity. A potential solution is program extension with Director approval (relying on community input).</w:t>
      </w:r>
    </w:p>
    <w:p w14:paraId="1513D90B" w14:textId="35DF3028" w:rsidR="00757ECC" w:rsidRDefault="00C22CA2" w:rsidP="00757ECC">
      <w:pPr>
        <w:pStyle w:val="NormalWeb"/>
        <w:shd w:val="clear" w:color="auto" w:fill="FFFFFF"/>
        <w:spacing w:before="0" w:beforeAutospacing="0" w:after="0" w:afterAutospacing="0" w:line="240" w:lineRule="atLeast"/>
        <w:ind w:firstLine="288"/>
        <w:jc w:val="both"/>
        <w:rPr>
          <w:rFonts w:ascii="Times New Roman" w:hAnsi="Times New Roman" w:cs="Times New Roman"/>
          <w:bCs/>
          <w:sz w:val="20"/>
          <w:szCs w:val="20"/>
        </w:rPr>
      </w:pPr>
      <w:r w:rsidRPr="00C22CA2">
        <w:rPr>
          <w:rFonts w:ascii="Times New Roman" w:hAnsi="Times New Roman" w:cs="Times New Roman"/>
          <w:sz w:val="20"/>
          <w:szCs w:val="20"/>
        </w:rPr>
        <w:t xml:space="preserve"> </w:t>
      </w:r>
      <w:r w:rsidR="00757ECC">
        <w:rPr>
          <w:rFonts w:ascii="Times New Roman" w:hAnsi="Times New Roman" w:cs="Times New Roman"/>
          <w:sz w:val="20"/>
          <w:szCs w:val="20"/>
        </w:rPr>
        <w:t>Cadence observations can account for an amount of observing time that grows over time, potentially affecting the amount of</w:t>
      </w:r>
      <w:r w:rsidR="00671725">
        <w:rPr>
          <w:rFonts w:ascii="Times New Roman" w:hAnsi="Times New Roman" w:cs="Times New Roman"/>
          <w:sz w:val="20"/>
          <w:szCs w:val="20"/>
        </w:rPr>
        <w:t xml:space="preserve"> compelling GO science</w:t>
      </w:r>
      <w:r w:rsidR="00757ECC">
        <w:rPr>
          <w:rFonts w:ascii="Times New Roman" w:hAnsi="Times New Roman" w:cs="Times New Roman"/>
          <w:sz w:val="20"/>
          <w:szCs w:val="20"/>
        </w:rPr>
        <w:t xml:space="preserve"> from other programs if less overall time is available. This could be addressed by allocating Director’s Discretionary (DD) time</w:t>
      </w:r>
      <w:r w:rsidR="00757ECC">
        <w:rPr>
          <w:rFonts w:ascii="Times New Roman" w:hAnsi="Times New Roman" w:cs="Times New Roman"/>
          <w:bCs/>
          <w:sz w:val="20"/>
          <w:szCs w:val="20"/>
        </w:rPr>
        <w:t xml:space="preserve"> (relying on community input)</w:t>
      </w:r>
      <w:r w:rsidR="00757ECC">
        <w:rPr>
          <w:rFonts w:ascii="Times New Roman" w:hAnsi="Times New Roman" w:cs="Times New Roman"/>
          <w:bCs/>
          <w:sz w:val="20"/>
          <w:szCs w:val="20"/>
        </w:rPr>
        <w:t xml:space="preserve"> for observations that extend longer than typical GO program durations of 1–3 cycles.</w:t>
      </w:r>
    </w:p>
    <w:p w14:paraId="27252C95" w14:textId="4D1834E4" w:rsidR="00C22CA2" w:rsidRDefault="009D6F41" w:rsidP="009D6F41">
      <w:pPr>
        <w:pStyle w:val="NormalWeb"/>
        <w:shd w:val="clear" w:color="auto" w:fill="FFFFFF"/>
        <w:spacing w:before="0" w:beforeAutospacing="0" w:after="0" w:afterAutospacing="0" w:line="240" w:lineRule="atLeast"/>
        <w:ind w:firstLine="288"/>
        <w:jc w:val="both"/>
        <w:rPr>
          <w:rFonts w:ascii="Times New Roman" w:hAnsi="Times New Roman" w:cs="Times New Roman"/>
          <w:sz w:val="20"/>
          <w:szCs w:val="20"/>
        </w:rPr>
      </w:pPr>
      <w:r>
        <w:rPr>
          <w:rFonts w:ascii="Times New Roman" w:hAnsi="Times New Roman" w:cs="Times New Roman"/>
          <w:sz w:val="20"/>
          <w:szCs w:val="20"/>
        </w:rPr>
        <w:t>Suggested programs may claim more a</w:t>
      </w:r>
      <w:r w:rsidR="00671725">
        <w:rPr>
          <w:rFonts w:ascii="Times New Roman" w:hAnsi="Times New Roman" w:cs="Times New Roman"/>
          <w:sz w:val="20"/>
          <w:szCs w:val="20"/>
        </w:rPr>
        <w:t>ctual mission value</w:t>
      </w:r>
      <w:r>
        <w:rPr>
          <w:rFonts w:ascii="Times New Roman" w:hAnsi="Times New Roman" w:cs="Times New Roman"/>
          <w:sz w:val="20"/>
          <w:szCs w:val="20"/>
        </w:rPr>
        <w:t xml:space="preserve"> than they can deliver. Mission support letters are currently accepted for GO programs, but these are provided to the TAC panels only after voting is complete (as with team experience). Mission support letters thus have a very limited potential to describe positive mission value for GO programs. A potential solution is for TACs to consider mission support in their decision of an initial GO program, with program extension via DD time available only if the program demonstrates strong mission-supporting science value.</w:t>
      </w:r>
    </w:p>
    <w:p w14:paraId="53D5A8DD" w14:textId="77777777" w:rsidR="007679DF" w:rsidRPr="00C22CA2" w:rsidRDefault="007679DF" w:rsidP="00C22CA2">
      <w:pPr>
        <w:pStyle w:val="NormalWeb"/>
        <w:shd w:val="clear" w:color="auto" w:fill="FFFFFF"/>
        <w:spacing w:before="0" w:beforeAutospacing="0" w:after="0" w:afterAutospacing="0" w:line="240" w:lineRule="atLeast"/>
        <w:ind w:firstLine="288"/>
        <w:jc w:val="both"/>
        <w:rPr>
          <w:rFonts w:ascii="Times New Roman" w:hAnsi="Times New Roman" w:cs="Times New Roman"/>
          <w:sz w:val="20"/>
          <w:szCs w:val="20"/>
        </w:rPr>
      </w:pPr>
    </w:p>
    <w:p w14:paraId="30198EDD" w14:textId="321B6193" w:rsidR="00C22CA2" w:rsidRPr="00C22CA2" w:rsidRDefault="00C22CA2" w:rsidP="007679DF">
      <w:pPr>
        <w:spacing w:line="240" w:lineRule="atLeast"/>
        <w:jc w:val="both"/>
        <w:rPr>
          <w:sz w:val="20"/>
        </w:rPr>
      </w:pPr>
      <w:r w:rsidRPr="00C22CA2">
        <w:rPr>
          <w:b/>
          <w:sz w:val="20"/>
        </w:rPr>
        <w:t>References:</w:t>
      </w:r>
      <w:r w:rsidRPr="00C22CA2">
        <w:rPr>
          <w:sz w:val="20"/>
        </w:rPr>
        <w:t xml:space="preserve"> </w:t>
      </w:r>
    </w:p>
    <w:p w14:paraId="122728DC" w14:textId="14480433" w:rsidR="007679DF" w:rsidRDefault="00701590" w:rsidP="00701590">
      <w:pPr>
        <w:pStyle w:val="ListParagraph"/>
        <w:numPr>
          <w:ilvl w:val="0"/>
          <w:numId w:val="2"/>
        </w:numPr>
        <w:spacing w:line="240" w:lineRule="atLeast"/>
        <w:ind w:left="360"/>
        <w:jc w:val="both"/>
        <w:rPr>
          <w:sz w:val="20"/>
        </w:rPr>
      </w:pPr>
      <w:proofErr w:type="spellStart"/>
      <w:r>
        <w:rPr>
          <w:sz w:val="20"/>
        </w:rPr>
        <w:t>bonfond</w:t>
      </w:r>
      <w:proofErr w:type="spellEnd"/>
      <w:r>
        <w:rPr>
          <w:sz w:val="20"/>
        </w:rPr>
        <w:t xml:space="preserve"> et al, more?</w:t>
      </w:r>
    </w:p>
    <w:p w14:paraId="51A493BD" w14:textId="7EDBE924" w:rsidR="007679DF" w:rsidRDefault="00701590" w:rsidP="00701590">
      <w:pPr>
        <w:pStyle w:val="ListParagraph"/>
        <w:numPr>
          <w:ilvl w:val="0"/>
          <w:numId w:val="2"/>
        </w:numPr>
        <w:spacing w:line="240" w:lineRule="atLeast"/>
        <w:ind w:left="360"/>
        <w:jc w:val="both"/>
        <w:rPr>
          <w:sz w:val="20"/>
        </w:rPr>
      </w:pPr>
      <w:proofErr w:type="spellStart"/>
      <w:r>
        <w:rPr>
          <w:sz w:val="20"/>
        </w:rPr>
        <w:t>giles</w:t>
      </w:r>
      <w:proofErr w:type="spellEnd"/>
      <w:r>
        <w:rPr>
          <w:sz w:val="20"/>
        </w:rPr>
        <w:t xml:space="preserve"> et al</w:t>
      </w:r>
    </w:p>
    <w:p w14:paraId="360F00D4" w14:textId="77777777" w:rsidR="00701590" w:rsidRDefault="00701590" w:rsidP="00701590">
      <w:pPr>
        <w:pStyle w:val="ListParagraph"/>
        <w:numPr>
          <w:ilvl w:val="0"/>
          <w:numId w:val="2"/>
        </w:numPr>
        <w:spacing w:line="240" w:lineRule="atLeast"/>
        <w:ind w:left="360"/>
        <w:jc w:val="both"/>
        <w:rPr>
          <w:sz w:val="20"/>
        </w:rPr>
      </w:pPr>
      <w:proofErr w:type="spellStart"/>
      <w:r>
        <w:rPr>
          <w:sz w:val="20"/>
        </w:rPr>
        <w:t>bolton</w:t>
      </w:r>
      <w:proofErr w:type="spellEnd"/>
      <w:r>
        <w:rPr>
          <w:sz w:val="20"/>
        </w:rPr>
        <w:t xml:space="preserve"> et al 2021</w:t>
      </w:r>
    </w:p>
    <w:p w14:paraId="6F56C0F9" w14:textId="77777777" w:rsidR="00701590" w:rsidRDefault="00701590" w:rsidP="00701590">
      <w:pPr>
        <w:pStyle w:val="ListParagraph"/>
        <w:numPr>
          <w:ilvl w:val="0"/>
          <w:numId w:val="2"/>
        </w:numPr>
        <w:spacing w:line="240" w:lineRule="atLeast"/>
        <w:ind w:left="360"/>
        <w:jc w:val="both"/>
        <w:rPr>
          <w:sz w:val="20"/>
        </w:rPr>
      </w:pPr>
      <w:proofErr w:type="spellStart"/>
      <w:r>
        <w:rPr>
          <w:sz w:val="20"/>
        </w:rPr>
        <w:t>imai</w:t>
      </w:r>
      <w:proofErr w:type="spellEnd"/>
      <w:r>
        <w:rPr>
          <w:sz w:val="20"/>
        </w:rPr>
        <w:t xml:space="preserve"> et al 2020</w:t>
      </w:r>
    </w:p>
    <w:p w14:paraId="44E17CF7" w14:textId="77777777" w:rsidR="00701590" w:rsidRDefault="00701590" w:rsidP="00701590">
      <w:pPr>
        <w:pStyle w:val="ListParagraph"/>
        <w:numPr>
          <w:ilvl w:val="0"/>
          <w:numId w:val="2"/>
        </w:numPr>
        <w:spacing w:line="240" w:lineRule="atLeast"/>
        <w:ind w:left="360"/>
        <w:jc w:val="both"/>
        <w:rPr>
          <w:sz w:val="20"/>
        </w:rPr>
      </w:pPr>
      <w:proofErr w:type="spellStart"/>
      <w:r>
        <w:rPr>
          <w:sz w:val="20"/>
        </w:rPr>
        <w:t>wong</w:t>
      </w:r>
      <w:proofErr w:type="spellEnd"/>
      <w:r>
        <w:rPr>
          <w:sz w:val="20"/>
        </w:rPr>
        <w:t xml:space="preserve"> et al 2020</w:t>
      </w:r>
    </w:p>
    <w:p w14:paraId="0EC1D80F" w14:textId="77777777" w:rsidR="00701590" w:rsidRDefault="00701590" w:rsidP="00701590">
      <w:pPr>
        <w:pStyle w:val="ListParagraph"/>
        <w:numPr>
          <w:ilvl w:val="0"/>
          <w:numId w:val="2"/>
        </w:numPr>
        <w:spacing w:line="240" w:lineRule="atLeast"/>
        <w:ind w:left="360"/>
        <w:jc w:val="both"/>
        <w:rPr>
          <w:sz w:val="20"/>
        </w:rPr>
      </w:pPr>
      <w:proofErr w:type="spellStart"/>
      <w:r>
        <w:rPr>
          <w:sz w:val="20"/>
        </w:rPr>
        <w:t>wong</w:t>
      </w:r>
      <w:proofErr w:type="spellEnd"/>
      <w:r>
        <w:rPr>
          <w:sz w:val="20"/>
        </w:rPr>
        <w:t xml:space="preserve"> et al 2023</w:t>
      </w:r>
    </w:p>
    <w:p w14:paraId="4904FDF3" w14:textId="77777777" w:rsidR="00701590" w:rsidRDefault="00701590" w:rsidP="00701590">
      <w:pPr>
        <w:pStyle w:val="ListParagraph"/>
        <w:numPr>
          <w:ilvl w:val="0"/>
          <w:numId w:val="2"/>
        </w:numPr>
        <w:spacing w:line="240" w:lineRule="atLeast"/>
        <w:ind w:left="360"/>
        <w:jc w:val="both"/>
        <w:rPr>
          <w:sz w:val="20"/>
        </w:rPr>
      </w:pPr>
      <w:r>
        <w:rPr>
          <w:sz w:val="20"/>
        </w:rPr>
        <w:t>smith et al 1989</w:t>
      </w:r>
    </w:p>
    <w:p w14:paraId="09C9A6F3" w14:textId="3AF0DF7B" w:rsidR="006824D5" w:rsidRDefault="00701590" w:rsidP="00701590">
      <w:pPr>
        <w:pStyle w:val="ListParagraph"/>
        <w:numPr>
          <w:ilvl w:val="0"/>
          <w:numId w:val="2"/>
        </w:numPr>
        <w:spacing w:line="240" w:lineRule="atLeast"/>
        <w:ind w:left="360"/>
        <w:jc w:val="both"/>
        <w:rPr>
          <w:sz w:val="20"/>
        </w:rPr>
      </w:pPr>
      <w:proofErr w:type="spellStart"/>
      <w:r>
        <w:rPr>
          <w:sz w:val="20"/>
        </w:rPr>
        <w:t>hsu</w:t>
      </w:r>
      <w:proofErr w:type="spellEnd"/>
      <w:r>
        <w:rPr>
          <w:sz w:val="20"/>
        </w:rPr>
        <w:t xml:space="preserve"> et al 2019</w:t>
      </w:r>
      <w:r w:rsidR="00C22CA2" w:rsidRPr="007679DF">
        <w:rPr>
          <w:sz w:val="20"/>
        </w:rPr>
        <w:t xml:space="preserve"> </w:t>
      </w:r>
    </w:p>
    <w:p w14:paraId="45BA36D8" w14:textId="77777777" w:rsidR="00701590" w:rsidRPr="00701590" w:rsidRDefault="00701590" w:rsidP="00701590">
      <w:pPr>
        <w:pStyle w:val="ListParagraph"/>
        <w:spacing w:line="240" w:lineRule="atLeast"/>
        <w:ind w:left="360"/>
        <w:jc w:val="both"/>
        <w:rPr>
          <w:sz w:val="20"/>
        </w:rPr>
      </w:pPr>
    </w:p>
    <w:p w14:paraId="60B9AB4E" w14:textId="4DEDAD5F" w:rsidR="00CD627D" w:rsidRDefault="00CD627D" w:rsidP="00C22CA2">
      <w:pPr>
        <w:pStyle w:val="NoSpacing"/>
        <w:ind w:firstLine="288"/>
        <w:jc w:val="both"/>
        <w:rPr>
          <w:rFonts w:ascii="Times New Roman" w:hAnsi="Times New Roman"/>
        </w:rPr>
      </w:pPr>
    </w:p>
    <w:p w14:paraId="3220EDC7" w14:textId="344EC416" w:rsidR="00CD627D" w:rsidRDefault="00CD627D" w:rsidP="00C22CA2">
      <w:pPr>
        <w:pStyle w:val="NoSpacing"/>
        <w:ind w:firstLine="288"/>
        <w:jc w:val="both"/>
        <w:rPr>
          <w:rFonts w:ascii="Times New Roman" w:hAnsi="Times New Roman"/>
        </w:rPr>
      </w:pPr>
    </w:p>
    <w:p w14:paraId="4CC53CD5" w14:textId="45BBA41A" w:rsidR="00CD627D" w:rsidRDefault="00CD627D" w:rsidP="00C22CA2">
      <w:pPr>
        <w:pStyle w:val="NoSpacing"/>
        <w:ind w:firstLine="288"/>
        <w:jc w:val="both"/>
        <w:rPr>
          <w:rFonts w:ascii="Times New Roman" w:hAnsi="Times New Roman"/>
        </w:rPr>
      </w:pPr>
    </w:p>
    <w:p w14:paraId="4C91C4CA" w14:textId="77777777" w:rsidR="00CD627D" w:rsidRDefault="00CD627D" w:rsidP="00C22CA2">
      <w:pPr>
        <w:pStyle w:val="NoSpacing"/>
        <w:ind w:firstLine="288"/>
        <w:jc w:val="both"/>
        <w:rPr>
          <w:rFonts w:ascii="Times New Roman" w:hAnsi="Times New Roman"/>
        </w:rPr>
        <w:sectPr w:rsidR="00CD627D" w:rsidSect="00C22CA2">
          <w:type w:val="continuous"/>
          <w:pgSz w:w="12240" w:h="15840"/>
          <w:pgMar w:top="1440" w:right="1440" w:bottom="1440" w:left="1440" w:header="720" w:footer="720" w:gutter="0"/>
          <w:cols w:num="2" w:space="475"/>
          <w:docGrid w:linePitch="360"/>
        </w:sectPr>
      </w:pPr>
    </w:p>
    <w:p w14:paraId="4A93426D" w14:textId="0F376668" w:rsidR="00CD627D" w:rsidRDefault="00CD627D" w:rsidP="00C22CA2">
      <w:pPr>
        <w:pStyle w:val="NoSpacing"/>
        <w:ind w:firstLine="288"/>
        <w:jc w:val="both"/>
        <w:rPr>
          <w:rFonts w:ascii="Times New Roman" w:hAnsi="Times New Roman"/>
        </w:rPr>
      </w:pPr>
    </w:p>
    <w:p w14:paraId="5B606245" w14:textId="1BA6DDA4" w:rsidR="00CD627D" w:rsidRDefault="00CD627D" w:rsidP="00C22CA2">
      <w:pPr>
        <w:pStyle w:val="NoSpacing"/>
        <w:ind w:firstLine="288"/>
        <w:jc w:val="both"/>
        <w:rPr>
          <w:rFonts w:ascii="Times New Roman" w:hAnsi="Times New Roman"/>
        </w:rPr>
      </w:pPr>
    </w:p>
    <w:p w14:paraId="6B91979F" w14:textId="6428A4C9" w:rsidR="00CD627D" w:rsidRDefault="00CD627D" w:rsidP="00CD627D">
      <w:pPr>
        <w:pStyle w:val="NoSpacing"/>
        <w:jc w:val="center"/>
        <w:rPr>
          <w:rFonts w:ascii="Times New Roman" w:hAnsi="Times New Roman"/>
        </w:rPr>
      </w:pPr>
      <w:r>
        <w:rPr>
          <w:rFonts w:ascii="Times New Roman" w:hAnsi="Times New Roman"/>
          <w:noProof/>
        </w:rPr>
        <w:drawing>
          <wp:inline distT="0" distB="0" distL="0" distR="0" wp14:anchorId="59388039" wp14:editId="4CE2CD53">
            <wp:extent cx="4130615" cy="2303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4164452" cy="2322230"/>
                    </a:xfrm>
                    <a:prstGeom prst="rect">
                      <a:avLst/>
                    </a:prstGeom>
                  </pic:spPr>
                </pic:pic>
              </a:graphicData>
            </a:graphic>
          </wp:inline>
        </w:drawing>
      </w:r>
    </w:p>
    <w:p w14:paraId="0646A07E" w14:textId="0ACAC1FE" w:rsidR="00CD627D" w:rsidRDefault="00CD627D" w:rsidP="00CD627D">
      <w:pPr>
        <w:spacing w:line="240" w:lineRule="atLeast"/>
        <w:jc w:val="both"/>
        <w:rPr>
          <w:sz w:val="20"/>
        </w:rPr>
      </w:pPr>
      <w:r>
        <w:rPr>
          <w:b/>
          <w:sz w:val="20"/>
        </w:rPr>
        <w:t>Fig. 1 —</w:t>
      </w:r>
      <w:r w:rsidRPr="00C22CA2">
        <w:rPr>
          <w:sz w:val="20"/>
        </w:rPr>
        <w:t xml:space="preserve"> </w:t>
      </w:r>
      <w:r w:rsidR="00701590">
        <w:rPr>
          <w:sz w:val="20"/>
        </w:rPr>
        <w:t>Pre-launch, Europa spectral observations were expected to measure gas and ice composition at Europa, in association with any plumes if present</w:t>
      </w:r>
      <w:r>
        <w:rPr>
          <w:sz w:val="20"/>
        </w:rPr>
        <w:t xml:space="preserve">. </w:t>
      </w:r>
      <w:r w:rsidRPr="00CD627D">
        <w:rPr>
          <w:sz w:val="20"/>
        </w:rPr>
        <w:t>Credits: NASA-GSFC/SVS, Hubble Space Telescope, Stefanie Milam, Geronimo Villanueva</w:t>
      </w:r>
      <w:r>
        <w:rPr>
          <w:sz w:val="20"/>
        </w:rPr>
        <w:t xml:space="preserve">. URL: </w:t>
      </w:r>
      <w:r w:rsidRPr="00CD627D">
        <w:rPr>
          <w:sz w:val="20"/>
        </w:rPr>
        <w:t>https://www.nasa.gov/feature/goddard/2017/nasa-s-webb-telescope-will-study-our-solar-system-s-ocean-worlds</w:t>
      </w:r>
    </w:p>
    <w:p w14:paraId="1F80D450" w14:textId="77777777" w:rsidR="00701590" w:rsidRDefault="00701590" w:rsidP="00CD627D">
      <w:pPr>
        <w:spacing w:line="240" w:lineRule="atLeast"/>
        <w:jc w:val="both"/>
        <w:rPr>
          <w:sz w:val="20"/>
        </w:rPr>
      </w:pPr>
    </w:p>
    <w:p w14:paraId="11FBF9D4" w14:textId="29C6F123" w:rsidR="00CD627D" w:rsidRDefault="00CD627D" w:rsidP="00CD627D">
      <w:pPr>
        <w:spacing w:line="240" w:lineRule="atLeast"/>
        <w:jc w:val="both"/>
        <w:rPr>
          <w:sz w:val="20"/>
        </w:rPr>
      </w:pPr>
    </w:p>
    <w:p w14:paraId="501D984A" w14:textId="2C9828B8" w:rsidR="00CD627D" w:rsidRDefault="00CD627D" w:rsidP="00CD627D">
      <w:pPr>
        <w:spacing w:line="240" w:lineRule="atLeast"/>
        <w:jc w:val="center"/>
        <w:rPr>
          <w:sz w:val="20"/>
        </w:rPr>
      </w:pPr>
      <w:r>
        <w:rPr>
          <w:noProof/>
          <w:sz w:val="20"/>
        </w:rPr>
        <w:lastRenderedPageBreak/>
        <w:drawing>
          <wp:inline distT="0" distB="0" distL="0" distR="0" wp14:anchorId="645EF37B" wp14:editId="48974747">
            <wp:extent cx="4134014" cy="25753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4150575" cy="2585684"/>
                    </a:xfrm>
                    <a:prstGeom prst="rect">
                      <a:avLst/>
                    </a:prstGeom>
                  </pic:spPr>
                </pic:pic>
              </a:graphicData>
            </a:graphic>
          </wp:inline>
        </w:drawing>
      </w:r>
    </w:p>
    <w:p w14:paraId="615411B8" w14:textId="05543B65" w:rsidR="00CD627D" w:rsidRPr="00CD627D" w:rsidRDefault="00CD627D" w:rsidP="00CD627D">
      <w:pPr>
        <w:spacing w:line="240" w:lineRule="atLeast"/>
        <w:jc w:val="both"/>
        <w:rPr>
          <w:sz w:val="20"/>
        </w:rPr>
      </w:pPr>
      <w:r>
        <w:rPr>
          <w:b/>
          <w:sz w:val="20"/>
        </w:rPr>
        <w:t xml:space="preserve">Fig. </w:t>
      </w:r>
      <w:r>
        <w:rPr>
          <w:b/>
          <w:sz w:val="20"/>
        </w:rPr>
        <w:t>2</w:t>
      </w:r>
      <w:r>
        <w:rPr>
          <w:b/>
          <w:sz w:val="20"/>
        </w:rPr>
        <w:t xml:space="preserve"> —</w:t>
      </w:r>
      <w:r w:rsidRPr="00C22CA2">
        <w:rPr>
          <w:sz w:val="20"/>
        </w:rPr>
        <w:t xml:space="preserve"> </w:t>
      </w:r>
      <w:r w:rsidR="00701590">
        <w:rPr>
          <w:sz w:val="20"/>
        </w:rPr>
        <w:t>JWST spectra of Titan can measure variability of a multitude of atmospheric properties, from cloud spatial distribution to vertical profiles</w:t>
      </w:r>
      <w:r>
        <w:rPr>
          <w:sz w:val="20"/>
        </w:rPr>
        <w:t xml:space="preserve">. </w:t>
      </w:r>
      <w:r w:rsidRPr="00CD627D">
        <w:rPr>
          <w:sz w:val="20"/>
        </w:rPr>
        <w:t>Credits: NASA, ESA, CSA, Webb Titan GTO Team</w:t>
      </w:r>
      <w:r>
        <w:rPr>
          <w:sz w:val="20"/>
        </w:rPr>
        <w:t>, Alyssa Pagan</w:t>
      </w:r>
      <w:r>
        <w:rPr>
          <w:sz w:val="20"/>
        </w:rPr>
        <w:t xml:space="preserve">. URL: </w:t>
      </w:r>
      <w:r w:rsidRPr="00CD627D">
        <w:rPr>
          <w:sz w:val="20"/>
        </w:rPr>
        <w:t>https://blogs.nasa.gov/webb/2022/12/01/webb-keck-telescopes-team-up-to-track-clouds-on-saturns-moon-titan/</w:t>
      </w:r>
    </w:p>
    <w:p w14:paraId="03BF6A0C" w14:textId="13D6C90C" w:rsidR="00CD627D" w:rsidRDefault="00CD627D" w:rsidP="00CD627D">
      <w:pPr>
        <w:spacing w:line="240" w:lineRule="atLeast"/>
        <w:jc w:val="both"/>
        <w:rPr>
          <w:sz w:val="20"/>
        </w:rPr>
      </w:pPr>
    </w:p>
    <w:p w14:paraId="36FCED41" w14:textId="296F4630" w:rsidR="00701590" w:rsidRDefault="00701590" w:rsidP="00701590">
      <w:pPr>
        <w:pStyle w:val="NormalWeb"/>
        <w:shd w:val="clear" w:color="auto" w:fill="FFFFFF"/>
        <w:spacing w:before="0" w:beforeAutospacing="0" w:after="0" w:afterAutospacing="0" w:line="240" w:lineRule="atLeast"/>
        <w:ind w:firstLine="288"/>
        <w:jc w:val="both"/>
        <w:rPr>
          <w:rFonts w:ascii="Times New Roman" w:hAnsi="Times New Roman" w:cs="Times New Roman"/>
          <w:sz w:val="20"/>
          <w:szCs w:val="20"/>
        </w:rPr>
      </w:pPr>
    </w:p>
    <w:p w14:paraId="2CE45A2F" w14:textId="77777777" w:rsidR="00701590" w:rsidRPr="00C22CA2" w:rsidRDefault="00701590" w:rsidP="00701590">
      <w:pPr>
        <w:pStyle w:val="NormalWeb"/>
        <w:shd w:val="clear" w:color="auto" w:fill="FFFFFF"/>
        <w:spacing w:before="0" w:beforeAutospacing="0" w:after="0" w:afterAutospacing="0" w:line="240" w:lineRule="atLeast"/>
        <w:ind w:firstLine="288"/>
        <w:jc w:val="both"/>
        <w:rPr>
          <w:rFonts w:ascii="Times New Roman" w:hAnsi="Times New Roman" w:cs="Times New Roman"/>
          <w:sz w:val="20"/>
          <w:szCs w:val="20"/>
        </w:rPr>
      </w:pPr>
    </w:p>
    <w:p w14:paraId="2026AF41" w14:textId="0983665F" w:rsidR="00701590" w:rsidRPr="00C22CA2" w:rsidRDefault="00701590" w:rsidP="00701590">
      <w:pPr>
        <w:spacing w:line="240" w:lineRule="atLeast"/>
        <w:jc w:val="both"/>
        <w:rPr>
          <w:sz w:val="20"/>
        </w:rPr>
      </w:pPr>
      <w:r>
        <w:rPr>
          <w:b/>
          <w:sz w:val="20"/>
        </w:rPr>
        <w:t>Additional co-authors/co-signers</w:t>
      </w:r>
      <w:r w:rsidRPr="00C22CA2">
        <w:rPr>
          <w:b/>
          <w:sz w:val="20"/>
        </w:rPr>
        <w:t>:</w:t>
      </w:r>
      <w:r w:rsidRPr="00C22CA2">
        <w:rPr>
          <w:sz w:val="20"/>
        </w:rPr>
        <w:t xml:space="preserve"> </w:t>
      </w:r>
    </w:p>
    <w:p w14:paraId="31EB9D43" w14:textId="13B16B37" w:rsidR="00701590" w:rsidRDefault="00701590" w:rsidP="00CD627D">
      <w:pPr>
        <w:spacing w:line="240" w:lineRule="atLeast"/>
        <w:jc w:val="both"/>
        <w:rPr>
          <w:sz w:val="20"/>
        </w:rPr>
      </w:pPr>
      <w:r>
        <w:rPr>
          <w:sz w:val="20"/>
        </w:rPr>
        <w:t>JWST Jovian System ERS team</w:t>
      </w:r>
    </w:p>
    <w:p w14:paraId="186ACE5C" w14:textId="48D18886" w:rsidR="00701590" w:rsidRPr="00CD627D" w:rsidRDefault="00701590" w:rsidP="00CD627D">
      <w:pPr>
        <w:spacing w:line="240" w:lineRule="atLeast"/>
        <w:jc w:val="both"/>
        <w:rPr>
          <w:sz w:val="20"/>
        </w:rPr>
      </w:pPr>
      <w:r>
        <w:rPr>
          <w:sz w:val="20"/>
        </w:rPr>
        <w:t>JWST GTO teams</w:t>
      </w:r>
    </w:p>
    <w:sectPr w:rsidR="00701590" w:rsidRPr="00CD627D" w:rsidSect="00CD627D">
      <w:type w:val="continuous"/>
      <w:pgSz w:w="12240" w:h="15840"/>
      <w:pgMar w:top="1440" w:right="1440" w:bottom="1440" w:left="1440" w:header="720" w:footer="720" w:gutter="0"/>
      <w:cols w:space="47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2B1F9" w14:textId="77777777" w:rsidR="00845EC8" w:rsidRDefault="00845EC8">
      <w:r>
        <w:separator/>
      </w:r>
    </w:p>
  </w:endnote>
  <w:endnote w:type="continuationSeparator" w:id="0">
    <w:p w14:paraId="1D4445B2" w14:textId="77777777" w:rsidR="00845EC8" w:rsidRDefault="00845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CAEC6" w14:textId="77777777" w:rsidR="006A128D" w:rsidRDefault="006A12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EBB4E" w14:textId="77777777" w:rsidR="00845EC8" w:rsidRDefault="00845EC8">
      <w:r>
        <w:separator/>
      </w:r>
    </w:p>
  </w:footnote>
  <w:footnote w:type="continuationSeparator" w:id="0">
    <w:p w14:paraId="59C803A7" w14:textId="77777777" w:rsidR="00845EC8" w:rsidRDefault="00845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7A1AB" w14:textId="77777777" w:rsidR="006A128D" w:rsidRDefault="006A128D">
    <w:pPr>
      <w:pStyle w:val="Header"/>
      <w:jc w:val="center"/>
    </w:pPr>
    <w:r>
      <w:t>SHORT TITLE HERE:  A. B. Author and C. D. Author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74274"/>
    <w:multiLevelType w:val="hybridMultilevel"/>
    <w:tmpl w:val="926CB532"/>
    <w:lvl w:ilvl="0" w:tplc="8DB034C2">
      <w:start w:val="1"/>
      <w:numFmt w:val="decimal"/>
      <w:lvlText w:val="[%1]"/>
      <w:lvlJc w:val="left"/>
      <w:pPr>
        <w:ind w:left="1008" w:hanging="360"/>
      </w:pPr>
      <w:rPr>
        <w:rFonts w:hint="default"/>
        <w:color w:val="0000FF"/>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52026B20"/>
    <w:multiLevelType w:val="hybridMultilevel"/>
    <w:tmpl w:val="10225AF4"/>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num w:numId="1" w16cid:durableId="421222954">
    <w:abstractNumId w:val="1"/>
  </w:num>
  <w:num w:numId="2" w16cid:durableId="457257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C22CA2"/>
    <w:rsid w:val="000275A9"/>
    <w:rsid w:val="000A76A6"/>
    <w:rsid w:val="001510C6"/>
    <w:rsid w:val="001C6380"/>
    <w:rsid w:val="002412FE"/>
    <w:rsid w:val="00266950"/>
    <w:rsid w:val="00393D80"/>
    <w:rsid w:val="003A58C1"/>
    <w:rsid w:val="003B07C0"/>
    <w:rsid w:val="00486E3B"/>
    <w:rsid w:val="00622526"/>
    <w:rsid w:val="00671725"/>
    <w:rsid w:val="006824D5"/>
    <w:rsid w:val="006A128D"/>
    <w:rsid w:val="00701590"/>
    <w:rsid w:val="00757ECC"/>
    <w:rsid w:val="007666A2"/>
    <w:rsid w:val="007679DF"/>
    <w:rsid w:val="00792E20"/>
    <w:rsid w:val="007B5FDB"/>
    <w:rsid w:val="00845EC8"/>
    <w:rsid w:val="009D6F41"/>
    <w:rsid w:val="00A35664"/>
    <w:rsid w:val="00A365A6"/>
    <w:rsid w:val="00A4519B"/>
    <w:rsid w:val="00AB69BF"/>
    <w:rsid w:val="00AC5C33"/>
    <w:rsid w:val="00B04041"/>
    <w:rsid w:val="00B26AF6"/>
    <w:rsid w:val="00B81EE3"/>
    <w:rsid w:val="00BB11C1"/>
    <w:rsid w:val="00C22CA2"/>
    <w:rsid w:val="00CD627D"/>
    <w:rsid w:val="00CE15F3"/>
    <w:rsid w:val="00E43065"/>
    <w:rsid w:val="00EC3001"/>
    <w:rsid w:val="00F004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0766DA"/>
  <w14:defaultImageDpi w14:val="0"/>
  <w15:docId w15:val="{265F17DB-641F-413D-82F7-EA6C782CD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CA2"/>
    <w:rPr>
      <w:rFonts w:ascii="Times New Roman" w:hAnsi="Times New Roman"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43065"/>
    <w:rPr>
      <w:rFonts w:asciiTheme="minorHAnsi" w:hAnsiTheme="minorHAnsi" w:cs="Times New Roman"/>
      <w:color w:val="0000FF"/>
      <w:u w:val="single"/>
    </w:rPr>
  </w:style>
  <w:style w:type="paragraph" w:styleId="NoSpacing">
    <w:name w:val="No Spacing"/>
    <w:uiPriority w:val="1"/>
    <w:qFormat/>
    <w:rsid w:val="003A58C1"/>
    <w:rPr>
      <w:rFonts w:eastAsiaTheme="minorEastAsia" w:cs="Times New Roman"/>
    </w:rPr>
  </w:style>
  <w:style w:type="table" w:customStyle="1" w:styleId="Style1">
    <w:name w:val="Style1"/>
    <w:basedOn w:val="TableNormal"/>
    <w:uiPriority w:val="99"/>
    <w:rsid w:val="002412FE"/>
    <w:rPr>
      <w:rFonts w:eastAsiaTheme="minorEastAsia" w:cs="Times New Roman"/>
      <w:color w:val="000000" w:themeColor="text1"/>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tblStylePr w:type="firstRow">
      <w:rPr>
        <w:rFonts w:cs="Times New Roman"/>
        <w:b/>
        <w:color w:val="FFFFFF" w:themeColor="background1"/>
      </w:rPr>
      <w:tblPr/>
      <w:tcPr>
        <w:shd w:val="clear" w:color="auto" w:fill="31849B" w:themeFill="accent5" w:themeFillShade="BF"/>
      </w:tcPr>
    </w:tblStylePr>
    <w:tblStylePr w:type="band1Horz">
      <w:rPr>
        <w:rFonts w:cs="Times New Roman"/>
      </w:rPr>
      <w:tblPr/>
      <w:tcPr>
        <w:shd w:val="clear" w:color="auto" w:fill="DAEEF3" w:themeFill="accent5" w:themeFillTint="33"/>
      </w:tcPr>
    </w:tblStylePr>
  </w:style>
  <w:style w:type="table" w:styleId="GridTable4-Accent6">
    <w:name w:val="Grid Table 4 Accent 6"/>
    <w:basedOn w:val="TableNormal"/>
    <w:uiPriority w:val="49"/>
    <w:rsid w:val="00CE15F3"/>
    <w:rPr>
      <w:rFonts w:eastAsiaTheme="minorEastAsia" w:cs="Times New Roman"/>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rFonts w:cs="Times New Roman"/>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rFonts w:cs="Times New Roman"/>
        <w:b/>
        <w:bCs/>
      </w:rPr>
      <w:tblPr/>
      <w:tcPr>
        <w:tcBorders>
          <w:top w:val="double" w:sz="4" w:space="0" w:color="F79646" w:themeColor="accent6"/>
        </w:tcBorders>
      </w:tcPr>
    </w:tblStylePr>
    <w:tblStylePr w:type="firstCol">
      <w:rPr>
        <w:rFonts w:cs="Times New Roman"/>
        <w:b w:val="0"/>
        <w:bCs/>
      </w:rPr>
    </w:tblStylePr>
    <w:tblStylePr w:type="lastCol">
      <w:rPr>
        <w:rFonts w:cs="Times New Roman"/>
        <w:b/>
        <w:bCs/>
      </w:rPr>
    </w:tblStylePr>
    <w:tblStylePr w:type="band1Vert">
      <w:rPr>
        <w:rFonts w:cs="Times New Roman"/>
      </w:rPr>
      <w:tblPr/>
      <w:tcPr>
        <w:shd w:val="clear" w:color="auto" w:fill="FDE9D9" w:themeFill="accent6" w:themeFillTint="33"/>
      </w:tcPr>
    </w:tblStylePr>
    <w:tblStylePr w:type="band1Horz">
      <w:rPr>
        <w:rFonts w:cs="Times New Roman"/>
      </w:rPr>
      <w:tblPr/>
      <w:tcPr>
        <w:shd w:val="clear" w:color="auto" w:fill="FDE9D9" w:themeFill="accent6" w:themeFillTint="33"/>
      </w:tcPr>
    </w:tblStylePr>
  </w:style>
  <w:style w:type="paragraph" w:styleId="Footer">
    <w:name w:val="footer"/>
    <w:basedOn w:val="Normal"/>
    <w:link w:val="FooterChar"/>
    <w:uiPriority w:val="99"/>
    <w:rsid w:val="00C22CA2"/>
    <w:pPr>
      <w:tabs>
        <w:tab w:val="center" w:pos="4320"/>
        <w:tab w:val="right" w:pos="8640"/>
      </w:tabs>
    </w:pPr>
  </w:style>
  <w:style w:type="character" w:customStyle="1" w:styleId="FooterChar">
    <w:name w:val="Footer Char"/>
    <w:basedOn w:val="DefaultParagraphFont"/>
    <w:link w:val="Footer"/>
    <w:uiPriority w:val="99"/>
    <w:locked/>
    <w:rsid w:val="00C22CA2"/>
    <w:rPr>
      <w:rFonts w:ascii="Times New Roman" w:hAnsi="Times New Roman" w:cs="Times New Roman"/>
      <w:sz w:val="20"/>
      <w:szCs w:val="20"/>
    </w:rPr>
  </w:style>
  <w:style w:type="paragraph" w:styleId="Header">
    <w:name w:val="header"/>
    <w:basedOn w:val="Normal"/>
    <w:link w:val="HeaderChar"/>
    <w:uiPriority w:val="99"/>
    <w:rsid w:val="00C22CA2"/>
    <w:pPr>
      <w:tabs>
        <w:tab w:val="center" w:pos="4320"/>
        <w:tab w:val="right" w:pos="8640"/>
      </w:tabs>
    </w:pPr>
  </w:style>
  <w:style w:type="character" w:customStyle="1" w:styleId="HeaderChar">
    <w:name w:val="Header Char"/>
    <w:basedOn w:val="DefaultParagraphFont"/>
    <w:link w:val="Header"/>
    <w:uiPriority w:val="99"/>
    <w:locked/>
    <w:rsid w:val="00C22CA2"/>
    <w:rPr>
      <w:rFonts w:ascii="Times New Roman" w:hAnsi="Times New Roman" w:cs="Times New Roman"/>
      <w:sz w:val="20"/>
      <w:szCs w:val="20"/>
    </w:rPr>
  </w:style>
  <w:style w:type="paragraph" w:styleId="NormalWeb">
    <w:name w:val="Normal (Web)"/>
    <w:basedOn w:val="Normal"/>
    <w:uiPriority w:val="99"/>
    <w:unhideWhenUsed/>
    <w:rsid w:val="00C22CA2"/>
    <w:pPr>
      <w:spacing w:before="100" w:beforeAutospacing="1" w:after="100" w:afterAutospacing="1"/>
    </w:pPr>
    <w:rPr>
      <w:rFonts w:ascii="Calibri" w:hAnsi="Calibri" w:cs="Calibri"/>
      <w:sz w:val="24"/>
      <w:szCs w:val="24"/>
    </w:rPr>
  </w:style>
  <w:style w:type="character" w:styleId="Strong">
    <w:name w:val="Strong"/>
    <w:basedOn w:val="DefaultParagraphFont"/>
    <w:uiPriority w:val="22"/>
    <w:qFormat/>
    <w:rsid w:val="00C22CA2"/>
    <w:rPr>
      <w:b/>
    </w:rPr>
  </w:style>
  <w:style w:type="character" w:styleId="Emphasis">
    <w:name w:val="Emphasis"/>
    <w:basedOn w:val="DefaultParagraphFont"/>
    <w:uiPriority w:val="20"/>
    <w:qFormat/>
    <w:rsid w:val="00C22CA2"/>
    <w:rPr>
      <w:i/>
    </w:rPr>
  </w:style>
  <w:style w:type="paragraph" w:styleId="ListParagraph">
    <w:name w:val="List Paragraph"/>
    <w:basedOn w:val="Normal"/>
    <w:uiPriority w:val="34"/>
    <w:qFormat/>
    <w:rsid w:val="00671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E198F-56A1-4A87-9FA2-0A4ABF3B7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Pages>
  <Words>732</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Garcia, Linda</dc:creator>
  <cp:keywords/>
  <dc:description/>
  <cp:lastModifiedBy>Michael Wong</cp:lastModifiedBy>
  <cp:revision>9</cp:revision>
  <dcterms:created xsi:type="dcterms:W3CDTF">2020-01-03T18:06:00Z</dcterms:created>
  <dcterms:modified xsi:type="dcterms:W3CDTF">2023-09-07T21:34:00Z</dcterms:modified>
</cp:coreProperties>
</file>