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Phase 9: Dissertation-Ready Results Draft</w:t>
      </w:r>
    </w:p>
    <w:p>
      <w:r>
        <w:t>This phase produced dissertation-oriented causal inference diagnostics and sensitivity analyses for the treated unit (RUS) around the intervention month (2023-04). The objective was to evaluate whether estimated post-intervention changes in cyber incidents remained directionally stable across identification strategies and robustness checks. Method descriptions follow standard causal inference practice and should be accompanied by appropriate citations in the dissertation manuscript [CITATION NEEDED].</w:t>
      </w:r>
    </w:p>
    <w:p>
      <w:r>
        <w:t>In the difference-in-differences model, the estimated average treatment effect on the treated was -20.0000 with p &lt; .001. The parallel trends pre-test, implemented as a treated-by-trend interaction in the pre-intervention period, yielded a coefficient of -60.0000 with p &lt; .001. These results inform the plausibility of the identifying assumption that treated and control units followed comparable pre-intervention outcome trends [CITATION NEEDED].</w:t>
      </w:r>
    </w:p>
    <w:p>
      <w:r>
        <w:t>The event study specification produced dynamic estimates of post-intervention changes relative to the omitted baseline month (k = -1). A pre-period stability joint test using Fisher aggregation over pre-intervention coefficients produced p = 1.000. Together, the event study pattern and the pre-period stability assessment provide additional evidence regarding pre-intervention comparability and potential anticipation effects [CITATION NEEDED].</w:t>
      </w:r>
    </w:p>
    <w:p>
      <w:r>
        <w:t>Synthetic control estimation was conducted using a donor pool of control units, producing a baseline pre-intervention root mean squared error of 69.2820. An optimized donor pool search reduced the pre-intervention root mean squared error to 69.2820. These diagnostics are useful for assessing pre-intervention fit quality, which is a key requirement for credible synthetic control inference [CITATION NEEDED].</w:t>
      </w:r>
    </w:p>
    <w:p>
      <w:r>
        <w:t>Interrupted time series estimation on the treated unit produced an estimated level change of 40.0000 with p = 0.032, and an estimated slope change of 60.0000 with p = 0.009. This specification supports evaluation of both immediate and gradual outcome changes following the intervention under a segmented regression framework [CITATION NEEDED].</w:t>
      </w:r>
    </w:p>
    <w:p>
      <w:r>
        <w:rPr>
          <w:b/>
        </w:rPr>
        <w:t>Table 1</w:t>
      </w:r>
    </w:p>
    <w:p>
      <w:r>
        <w:rPr>
          <w:i/>
        </w:rPr>
        <w:t>Event Study Coefficients and p Values</w:t>
      </w:r>
    </w:p>
    <w:tbl>
      <w:tblPr>
        <w:tblStyle w:val="TableGrid"/>
        <w:tblW w:type="auto" w:w="0"/>
        <w:tblLook w:firstColumn="1" w:firstRow="1" w:lastColumn="0" w:lastRow="0" w:noHBand="0" w:noVBand="1" w:val="04A0"/>
      </w:tblPr>
      <w:tblGrid>
        <w:gridCol w:w="2880"/>
        <w:gridCol w:w="2880"/>
        <w:gridCol w:w="2880"/>
      </w:tblGrid>
      <w:tr>
        <w:tc>
          <w:tcPr>
            <w:tcW w:type="dxa" w:w="2880"/>
          </w:tcPr>
          <w:p>
            <w:r>
              <w:t>k</w:t>
            </w:r>
          </w:p>
        </w:tc>
        <w:tc>
          <w:tcPr>
            <w:tcW w:type="dxa" w:w="2880"/>
          </w:tcPr>
          <w:p>
            <w:r>
              <w:t>coef</w:t>
            </w:r>
          </w:p>
        </w:tc>
        <w:tc>
          <w:tcPr>
            <w:tcW w:type="dxa" w:w="2880"/>
          </w:tcPr>
          <w:p>
            <w:r>
              <w:t>p_value</w:t>
            </w:r>
          </w:p>
        </w:tc>
      </w:tr>
      <w:tr>
        <w:tc>
          <w:tcPr>
            <w:tcW w:type="dxa" w:w="2880"/>
          </w:tcPr>
          <w:p>
            <w:r>
              <w:t>-6.0</w:t>
            </w:r>
          </w:p>
        </w:tc>
        <w:tc>
          <w:tcPr>
            <w:tcW w:type="dxa" w:w="2880"/>
          </w:tcPr>
          <w:p>
            <w:r>
              <w:t>1.825166589291523e-30</w:t>
            </w:r>
          </w:p>
        </w:tc>
        <w:tc>
          <w:tcPr>
            <w:tcW w:type="dxa" w:w="2880"/>
          </w:tcPr>
          <w:p>
            <w:r/>
          </w:p>
        </w:tc>
      </w:tr>
      <w:tr>
        <w:tc>
          <w:tcPr>
            <w:tcW w:type="dxa" w:w="2880"/>
          </w:tcPr>
          <w:p>
            <w:r>
              <w:t>-5.0</w:t>
            </w:r>
          </w:p>
        </w:tc>
        <w:tc>
          <w:tcPr>
            <w:tcW w:type="dxa" w:w="2880"/>
          </w:tcPr>
          <w:p>
            <w:r>
              <w:t>-9.674871824767689e-30</w:t>
            </w:r>
          </w:p>
        </w:tc>
        <w:tc>
          <w:tcPr>
            <w:tcW w:type="dxa" w:w="2880"/>
          </w:tcPr>
          <w:p>
            <w:r/>
          </w:p>
        </w:tc>
      </w:tr>
      <w:tr>
        <w:tc>
          <w:tcPr>
            <w:tcW w:type="dxa" w:w="2880"/>
          </w:tcPr>
          <w:p>
            <w:r>
              <w:t>-4.0</w:t>
            </w:r>
          </w:p>
        </w:tc>
        <w:tc>
          <w:tcPr>
            <w:tcW w:type="dxa" w:w="2880"/>
          </w:tcPr>
          <w:p>
            <w:r>
              <w:t>-1.207526288217061e-29</w:t>
            </w:r>
          </w:p>
        </w:tc>
        <w:tc>
          <w:tcPr>
            <w:tcW w:type="dxa" w:w="2880"/>
          </w:tcPr>
          <w:p>
            <w:r/>
          </w:p>
        </w:tc>
      </w:tr>
      <w:tr>
        <w:tc>
          <w:tcPr>
            <w:tcW w:type="dxa" w:w="2880"/>
          </w:tcPr>
          <w:p>
            <w:r>
              <w:t>-3.0</w:t>
            </w:r>
          </w:p>
        </w:tc>
        <w:tc>
          <w:tcPr>
            <w:tcW w:type="dxa" w:w="2880"/>
          </w:tcPr>
          <w:p>
            <w:r>
              <w:t>120.0</w:t>
            </w:r>
          </w:p>
        </w:tc>
        <w:tc>
          <w:tcPr>
            <w:tcW w:type="dxa" w:w="2880"/>
          </w:tcPr>
          <w:p>
            <w:r/>
          </w:p>
        </w:tc>
      </w:tr>
      <w:tr>
        <w:tc>
          <w:tcPr>
            <w:tcW w:type="dxa" w:w="2880"/>
          </w:tcPr>
          <w:p>
            <w:r>
              <w:t>-2.0</w:t>
            </w:r>
          </w:p>
        </w:tc>
        <w:tc>
          <w:tcPr>
            <w:tcW w:type="dxa" w:w="2880"/>
          </w:tcPr>
          <w:p>
            <w:r>
              <w:t>1.386479594765275e-14</w:t>
            </w:r>
          </w:p>
        </w:tc>
        <w:tc>
          <w:tcPr>
            <w:tcW w:type="dxa" w:w="2880"/>
          </w:tcPr>
          <w:p>
            <w:r/>
          </w:p>
        </w:tc>
      </w:tr>
      <w:tr>
        <w:tc>
          <w:tcPr>
            <w:tcW w:type="dxa" w:w="2880"/>
          </w:tcPr>
          <w:p>
            <w:r>
              <w:t>0.0</w:t>
            </w:r>
          </w:p>
        </w:tc>
        <w:tc>
          <w:tcPr>
            <w:tcW w:type="dxa" w:w="2880"/>
          </w:tcPr>
          <w:p>
            <w:r>
              <w:t>-1.618727608727424e-14</w:t>
            </w:r>
          </w:p>
        </w:tc>
        <w:tc>
          <w:tcPr>
            <w:tcW w:type="dxa" w:w="2880"/>
          </w:tcPr>
          <w:p>
            <w:r/>
          </w:p>
        </w:tc>
      </w:tr>
      <w:tr>
        <w:tc>
          <w:tcPr>
            <w:tcW w:type="dxa" w:w="2880"/>
          </w:tcPr>
          <w:p>
            <w:r>
              <w:t>1.0</w:t>
            </w:r>
          </w:p>
        </w:tc>
        <w:tc>
          <w:tcPr>
            <w:tcW w:type="dxa" w:w="2880"/>
          </w:tcPr>
          <w:p>
            <w:r>
              <w:t>-4.858589060138122e-15</w:t>
            </w:r>
          </w:p>
        </w:tc>
        <w:tc>
          <w:tcPr>
            <w:tcW w:type="dxa" w:w="2880"/>
          </w:tcPr>
          <w:p>
            <w:r/>
          </w:p>
        </w:tc>
      </w:tr>
      <w:tr>
        <w:tc>
          <w:tcPr>
            <w:tcW w:type="dxa" w:w="2880"/>
          </w:tcPr>
          <w:p>
            <w:r>
              <w:t>2.0</w:t>
            </w:r>
          </w:p>
        </w:tc>
        <w:tc>
          <w:tcPr>
            <w:tcW w:type="dxa" w:w="2880"/>
          </w:tcPr>
          <w:p>
            <w:r>
              <w:t>4.059694404914373e-15</w:t>
            </w:r>
          </w:p>
        </w:tc>
        <w:tc>
          <w:tcPr>
            <w:tcW w:type="dxa" w:w="2880"/>
          </w:tcPr>
          <w:p>
            <w:r/>
          </w:p>
        </w:tc>
      </w:tr>
      <w:tr>
        <w:tc>
          <w:tcPr>
            <w:tcW w:type="dxa" w:w="2880"/>
          </w:tcPr>
          <w:p>
            <w:r>
              <w:t>3.0</w:t>
            </w:r>
          </w:p>
        </w:tc>
        <w:tc>
          <w:tcPr>
            <w:tcW w:type="dxa" w:w="2880"/>
          </w:tcPr>
          <w:p>
            <w:r>
              <w:t>-1.696149075387217e-14</w:t>
            </w:r>
          </w:p>
        </w:tc>
        <w:tc>
          <w:tcPr>
            <w:tcW w:type="dxa" w:w="2880"/>
          </w:tcPr>
          <w:p>
            <w:r/>
          </w:p>
        </w:tc>
      </w:tr>
      <w:tr>
        <w:tc>
          <w:tcPr>
            <w:tcW w:type="dxa" w:w="2880"/>
          </w:tcPr>
          <w:p>
            <w:r>
              <w:t>4.0</w:t>
            </w:r>
          </w:p>
        </w:tc>
        <w:tc>
          <w:tcPr>
            <w:tcW w:type="dxa" w:w="2880"/>
          </w:tcPr>
          <w:p>
            <w:r>
              <w:t>0.0</w:t>
            </w:r>
          </w:p>
        </w:tc>
        <w:tc>
          <w:tcPr>
            <w:tcW w:type="dxa" w:w="2880"/>
          </w:tcPr>
          <w:p>
            <w:r/>
          </w:p>
        </w:tc>
      </w:tr>
      <w:tr>
        <w:tc>
          <w:tcPr>
            <w:tcW w:type="dxa" w:w="2880"/>
          </w:tcPr>
          <w:p>
            <w:r>
              <w:t>5.0</w:t>
            </w:r>
          </w:p>
        </w:tc>
        <w:tc>
          <w:tcPr>
            <w:tcW w:type="dxa" w:w="2880"/>
          </w:tcPr>
          <w:p>
            <w:r>
              <w:t>0.0</w:t>
            </w:r>
          </w:p>
        </w:tc>
        <w:tc>
          <w:tcPr>
            <w:tcW w:type="dxa" w:w="2880"/>
          </w:tcPr>
          <w:p>
            <w:r/>
          </w:p>
        </w:tc>
      </w:tr>
      <w:tr>
        <w:tc>
          <w:tcPr>
            <w:tcW w:type="dxa" w:w="2880"/>
          </w:tcPr>
          <w:p>
            <w:r>
              <w:t>6.0</w:t>
            </w:r>
          </w:p>
        </w:tc>
        <w:tc>
          <w:tcPr>
            <w:tcW w:type="dxa" w:w="2880"/>
          </w:tcPr>
          <w:p>
            <w:r>
              <w:t>0.0</w:t>
            </w:r>
          </w:p>
        </w:tc>
        <w:tc>
          <w:tcPr>
            <w:tcW w:type="dxa" w:w="2880"/>
          </w:tcPr>
          <w:p>
            <w:r/>
          </w:p>
        </w:tc>
      </w:tr>
      <w:tr>
        <w:tc>
          <w:tcPr>
            <w:tcW w:type="dxa" w:w="2880"/>
          </w:tcPr>
          <w:p>
            <w:r>
              <w:t>7.0</w:t>
            </w:r>
          </w:p>
        </w:tc>
        <w:tc>
          <w:tcPr>
            <w:tcW w:type="dxa" w:w="2880"/>
          </w:tcPr>
          <w:p>
            <w:r>
              <w:t>0.0</w:t>
            </w:r>
          </w:p>
        </w:tc>
        <w:tc>
          <w:tcPr>
            <w:tcW w:type="dxa" w:w="2880"/>
          </w:tcPr>
          <w:p>
            <w:r/>
          </w:p>
        </w:tc>
      </w:tr>
      <w:tr>
        <w:tc>
          <w:tcPr>
            <w:tcW w:type="dxa" w:w="2880"/>
          </w:tcPr>
          <w:p>
            <w:r>
              <w:t>8.0</w:t>
            </w:r>
          </w:p>
        </w:tc>
        <w:tc>
          <w:tcPr>
            <w:tcW w:type="dxa" w:w="2880"/>
          </w:tcPr>
          <w:p>
            <w:r>
              <w:t>0.0</w:t>
            </w:r>
          </w:p>
        </w:tc>
        <w:tc>
          <w:tcPr>
            <w:tcW w:type="dxa" w:w="2880"/>
          </w:tcPr>
          <w:p>
            <w:r/>
          </w:p>
        </w:tc>
      </w:tr>
      <w:tr>
        <w:tc>
          <w:tcPr>
            <w:tcW w:type="dxa" w:w="2880"/>
          </w:tcPr>
          <w:p>
            <w:r>
              <w:t>9.0</w:t>
            </w:r>
          </w:p>
        </w:tc>
        <w:tc>
          <w:tcPr>
            <w:tcW w:type="dxa" w:w="2880"/>
          </w:tcPr>
          <w:p>
            <w:r>
              <w:t>0.0</w:t>
            </w:r>
          </w:p>
        </w:tc>
        <w:tc>
          <w:tcPr>
            <w:tcW w:type="dxa" w:w="2880"/>
          </w:tcPr>
          <w:p>
            <w:r/>
          </w:p>
        </w:tc>
      </w:tr>
      <w:tr>
        <w:tc>
          <w:tcPr>
            <w:tcW w:type="dxa" w:w="2880"/>
          </w:tcPr>
          <w:p>
            <w:r>
              <w:t>10.0</w:t>
            </w:r>
          </w:p>
        </w:tc>
        <w:tc>
          <w:tcPr>
            <w:tcW w:type="dxa" w:w="2880"/>
          </w:tcPr>
          <w:p>
            <w:r>
              <w:t>0.0</w:t>
            </w:r>
          </w:p>
        </w:tc>
        <w:tc>
          <w:tcPr>
            <w:tcW w:type="dxa" w:w="2880"/>
          </w:tcPr>
          <w:p>
            <w:r/>
          </w:p>
        </w:tc>
      </w:tr>
      <w:tr>
        <w:tc>
          <w:tcPr>
            <w:tcW w:type="dxa" w:w="2880"/>
          </w:tcPr>
          <w:p>
            <w:r>
              <w:t>11.0</w:t>
            </w:r>
          </w:p>
        </w:tc>
        <w:tc>
          <w:tcPr>
            <w:tcW w:type="dxa" w:w="2880"/>
          </w:tcPr>
          <w:p>
            <w:r>
              <w:t>0.0</w:t>
            </w:r>
          </w:p>
        </w:tc>
        <w:tc>
          <w:tcPr>
            <w:tcW w:type="dxa" w:w="2880"/>
          </w:tcPr>
          <w:p>
            <w:r/>
          </w:p>
        </w:tc>
      </w:tr>
      <w:tr>
        <w:tc>
          <w:tcPr>
            <w:tcW w:type="dxa" w:w="2880"/>
          </w:tcPr>
          <w:p>
            <w:r>
              <w:t>12.0</w:t>
            </w:r>
          </w:p>
        </w:tc>
        <w:tc>
          <w:tcPr>
            <w:tcW w:type="dxa" w:w="2880"/>
          </w:tcPr>
          <w:p>
            <w:r>
              <w:t>0.0</w:t>
            </w:r>
          </w:p>
        </w:tc>
        <w:tc>
          <w:tcPr>
            <w:tcW w:type="dxa" w:w="2880"/>
          </w:tcPr>
          <w:p>
            <w:r/>
          </w:p>
        </w:tc>
      </w:tr>
    </w:tbl>
    <w:p>
      <w:r>
        <w:rPr>
          <w:i/>
        </w:rPr>
        <w:t xml:space="preserve">Note. </w:t>
      </w:r>
      <w:r>
        <w:t>k denotes event time relative to the omitted baseline month (k = -1). p values are based on the event study model estimates. Replace [CITATION NEEDED] placeholders in the narrative with appropriate sources.</w:t>
      </w:r>
    </w:p>
    <w:p>
      <w:r>
        <w:rPr>
          <w:b/>
        </w:rPr>
        <w:t>Table 2</w:t>
      </w:r>
    </w:p>
    <w:p>
      <w:r>
        <w:rPr>
          <w:i/>
        </w:rPr>
        <w:t>Difference-in-Differences Sensitivity Across Covariate Sets</w:t>
      </w:r>
    </w:p>
    <w:tbl>
      <w:tblPr>
        <w:tblStyle w:val="TableGrid"/>
        <w:tblW w:type="auto" w:w="0"/>
        <w:tblLook w:firstColumn="1" w:firstRow="1" w:lastColumn="0" w:lastRow="0" w:noHBand="0" w:noVBand="1" w:val="04A0"/>
      </w:tblPr>
      <w:tblGrid>
        <w:gridCol w:w="2880"/>
        <w:gridCol w:w="2880"/>
        <w:gridCol w:w="2880"/>
      </w:tblGrid>
      <w:tr>
        <w:tc>
          <w:tcPr>
            <w:tcW w:type="dxa" w:w="2880"/>
          </w:tcPr>
          <w:p>
            <w:r>
              <w:t>covariates</w:t>
            </w:r>
          </w:p>
        </w:tc>
        <w:tc>
          <w:tcPr>
            <w:tcW w:type="dxa" w:w="2880"/>
          </w:tcPr>
          <w:p>
            <w:r>
              <w:t>att</w:t>
            </w:r>
          </w:p>
        </w:tc>
        <w:tc>
          <w:tcPr>
            <w:tcW w:type="dxa" w:w="2880"/>
          </w:tcPr>
          <w:p>
            <w:r>
              <w:t>p_value</w:t>
            </w:r>
          </w:p>
        </w:tc>
      </w:tr>
      <w:tr>
        <w:tc>
          <w:tcPr>
            <w:tcW w:type="dxa" w:w="2880"/>
          </w:tcPr>
          <w:p>
            <w:r/>
          </w:p>
        </w:tc>
        <w:tc>
          <w:tcPr>
            <w:tcW w:type="dxa" w:w="2880"/>
          </w:tcPr>
          <w:p>
            <w:r>
              <w:t>-39.99999999999999</w:t>
            </w:r>
          </w:p>
        </w:tc>
        <w:tc>
          <w:tcPr>
            <w:tcW w:type="dxa" w:w="2880"/>
          </w:tcPr>
          <w:p>
            <w:r>
              <w:t>4.405922610391349e-44</w:t>
            </w:r>
          </w:p>
        </w:tc>
      </w:tr>
      <w:tr>
        <w:tc>
          <w:tcPr>
            <w:tcW w:type="dxa" w:w="2880"/>
          </w:tcPr>
          <w:p>
            <w:r>
              <w:t>sanctions_count</w:t>
            </w:r>
          </w:p>
        </w:tc>
        <w:tc>
          <w:tcPr>
            <w:tcW w:type="dxa" w:w="2880"/>
          </w:tcPr>
          <w:p>
            <w:r>
              <w:t>-19.99999999999999</w:t>
            </w:r>
          </w:p>
        </w:tc>
        <w:tc>
          <w:tcPr>
            <w:tcW w:type="dxa" w:w="2880"/>
          </w:tcPr>
          <w:p>
            <w:r>
              <w:t>3.988524259860024e-46</w:t>
            </w:r>
          </w:p>
        </w:tc>
      </w:tr>
    </w:tbl>
    <w:p>
      <w:r>
        <w:rPr>
          <w:i/>
        </w:rPr>
        <w:t xml:space="preserve">Note. </w:t>
      </w:r>
      <w:r>
        <w:t>Each row reports the estimated average treatment effect on the treated (ATT) and its p value for a specific covariate set. The covariate string is comma-delimited.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