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style"/>
      </w:pPr>
      <w:r>
        <w:t>Procedure :  Right hemicolectomy</w:t>
      </w:r>
    </w:p>
    <w:p>
      <w:pPr>
        <w:pStyle w:val="capstyle"/>
      </w:pPr>
      <w:r>
        <w:t>Macroscopic Evaluation of Mesorectum  :  Complete</w:t>
      </w:r>
    </w:p>
    <w:p>
      <w:pPr>
        <w:pStyle w:val="capstyle"/>
      </w:pPr>
      <w:r>
        <w:t>Tumor Site :  Ileocecal valve</w:t>
      </w:r>
    </w:p>
    <w:p>
      <w:pPr>
        <w:pStyle w:val="capstyle"/>
      </w:pPr>
      <w:r>
        <w:t>Histologic Type :  Adenocarcinoma</w:t>
      </w:r>
    </w:p>
    <w:p>
      <w:pPr>
        <w:pStyle w:val="capstyle"/>
      </w:pPr>
      <w:r>
        <w:t>Histologic Grade :  G1, well differentiated</w:t>
      </w:r>
    </w:p>
    <w:p>
      <w:pPr>
        <w:pStyle w:val="capstyle"/>
      </w:pPr>
      <w:r>
        <w:t>Tumor Size :  Greatest dimension in Centimeters (cm)</w:t>
      </w:r>
    </w:p>
    <w:p>
      <w:pPr>
        <w:pStyle w:val="capstyle"/>
      </w:pPr>
      <w:r>
        <w:t>Tumor Extent :  Invades lamina propria / muscularis mucosae (intramucosal carcinoma)</w:t>
      </w:r>
    </w:p>
    <w:p>
      <w:pPr>
        <w:pStyle w:val="capstyle"/>
      </w:pPr>
      <w:r>
        <w:t>Lymphovascular Invasion :  Small vessel</w:t>
      </w:r>
    </w:p>
    <w:p>
      <w:pPr>
        <w:pStyle w:val="capstyle"/>
      </w:pPr>
      <w:r>
        <w:t>Perineural Invasion :  Present</w:t>
      </w:r>
    </w:p>
    <w:p>
      <w:pPr>
        <w:pStyle w:val="capstyle"/>
      </w:pPr>
      <w:r>
        <w:t xml:space="preserve">+Number of Tumor Buds  :  Specify number in one </w:t>
      </w:r>
    </w:p>
    <w:p>
      <w:pPr>
        <w:pStyle w:val="capstyle"/>
      </w:pPr>
      <w:r>
        <w:t>+Tumor Bud Score :  Low (0</w:t>
      </w:r>
    </w:p>
    <w:p>
      <w:pPr>
        <w:pStyle w:val="capstyle"/>
      </w:pPr>
      <w:r>
        <w:t>Margins :  All margins negative for invasive carcinoma</w:t>
      </w:r>
    </w:p>
    <w:p>
      <w:pPr>
        <w:pStyle w:val="capstyle"/>
      </w:pPr>
      <w:r>
        <w:t>Regional Lymph Node Status :  All regional lymph nodes negative for tumor</w:t>
      </w:r>
    </w:p>
    <w:p>
      <w:pPr>
        <w:pStyle w:val="capstyle"/>
      </w:pPr>
      <w:r>
        <w:t xml:space="preserve">Number of Lymph Nodes with Tumor :  Exact number </w:t>
      </w:r>
    </w:p>
    <w:p>
      <w:pPr>
        <w:pStyle w:val="capstyle"/>
      </w:pPr>
      <w:r>
        <w:t xml:space="preserve">Number of Lymph Nodes Examined :  Exact number </w:t>
      </w:r>
    </w:p>
    <w:p>
      <w:pPr>
        <w:pStyle w:val="capstyle"/>
      </w:pPr>
      <w:r>
        <w:t>pT Category :  pT2</w:t>
      </w:r>
    </w:p>
    <w:p>
      <w:pPr>
        <w:pStyle w:val="capstyle"/>
      </w:pPr>
      <w:r>
        <w:t>pN Category :  pN0</w:t>
      </w:r>
    </w:p>
    <w:p>
      <w:pPr>
        <w:pStyle w:val="capstyle"/>
      </w:pPr>
      <w:r>
        <w:t>+Additional Findings :  Ulcerative colitis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style">
    <w:name w:val="capstyle"/>
    <w:pPr>
      <w:keepLines/>
      <w:spacing w:before="0" w:after="0" w:line="240" w:lineRule="auto"/>
    </w:pPr>
    <w:rPr>
      <w:rFonts w:ascii="Calibri" w:hAnsi="Calibri"/>
      <w:b w:val="0"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