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宋体" w:cs="Times New Roman"/>
          <w:caps/>
          <w:kern w:val="2"/>
          <w:sz w:val="24"/>
          <w:szCs w:val="24"/>
        </w:rPr>
        <w:id w:val="35354762"/>
      </w:sdtPr>
      <w:sdtEndPr>
        <w:rPr>
          <w:rFonts w:hint="default" w:ascii="Times New Roman" w:hAnsi="Times New Roman" w:eastAsia="宋体" w:cs="Times New Roman"/>
          <w:b/>
          <w:caps w:val="0"/>
          <w:color w:val="000000"/>
          <w:kern w:val="2"/>
          <w:sz w:val="24"/>
          <w:szCs w:val="24"/>
        </w:rPr>
      </w:sdtEndPr>
      <w:sdtContent>
        <w:tbl>
          <w:tblPr>
            <w:tblStyle w:val="15"/>
            <w:tblW w:w="9360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360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9360" w:type="dxa"/>
              </w:tcPr>
              <w:p>
                <w:pPr>
                  <w:pStyle w:val="19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caps/>
                    <w:sz w:val="24"/>
                    <w:szCs w:val="2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tc>
              <w:tcPr>
                <w:tcW w:w="9360" w:type="dxa"/>
                <w:tcBorders>
                  <w:bottom w:val="single" w:color="5B9BD5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</w:pPr>
                <w:sdt>
                  <w:sdtP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alias w:val="标题"/>
                    <w:id w:val="15524250"/>
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hint="default" w:ascii="Times New Roman" w:hAnsi="Times New Roman" w:cs="Times New Roman" w:eastAsiaTheme="majorEastAsia"/>
                      <w:sz w:val="80"/>
                      <w:szCs w:val="80"/>
                      <w:lang w:val="en-US" w:eastAsia="zh-CN"/>
                    </w:rPr>
                  </w:sdtEndPr>
                  <w:sdtContent>
                    <w:r>
                      <w:rPr>
                        <w:rFonts w:hint="default" w:ascii="Times New Roman" w:hAnsi="Times New Roman" w:cs="Times New Roman" w:eastAsiaTheme="majorEastAsia"/>
                        <w:sz w:val="80"/>
                        <w:szCs w:val="80"/>
                        <w:lang w:val="en-US" w:eastAsia="zh-CN"/>
                      </w:rPr>
                      <w:t>SeesharpTools</w:t>
                    </w:r>
                  </w:sdtContent>
                </w:sdt>
                <w:r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.JXI.</w:t>
                </w:r>
              </w:p>
              <w:p>
                <w:pPr>
                  <w:pStyle w:val="19"/>
                  <w:jc w:val="center"/>
                  <w:rPr>
                    <w:rFonts w:hint="default" w:ascii="Times New Roman" w:hAnsi="Times New Roman" w:eastAsia="宋体" w:cs="Times New Roman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Mathematics.Curvefitting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44"/>
                  <w:szCs w:val="44"/>
                  <w:lang w:val="en-US"/>
                </w:rPr>
              </w:sdtEndPr>
              <w:sdtContent>
                <w:tc>
                  <w:tcPr>
                    <w:tcW w:w="9360" w:type="dxa"/>
                    <w:tcBorders>
                      <w:top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19"/>
                      <w:pageBreakBefore w:val="0"/>
                      <w:kinsoku/>
                      <w:wordWrap/>
                      <w:overflowPunct/>
                      <w:topLinePunct w:val="0"/>
                      <w:bidi w:val="0"/>
                      <w:snapToGrid/>
                      <w:spacing w:line="400" w:lineRule="exact"/>
                      <w:ind w:right="0" w:rightChars="0"/>
                      <w:jc w:val="center"/>
                      <w:textAlignment w:val="auto"/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44"/>
                        <w:szCs w:val="44"/>
                        <w:lang w:val="en-US" w:eastAsia="zh-CN"/>
                      </w:rPr>
                      <w:t>user manual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19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sz w:val="24"/>
                    <w:szCs w:val="2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19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19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center"/>
                  <w:textAlignment w:val="auto"/>
                  <w:rPr>
                    <w:rFonts w:hint="default" w:ascii="Times New Roman" w:hAnsi="Times New Roman" w:eastAsia="宋体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>
          <w:pPr>
            <w:pageBreakBefore w:val="0"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textAlignment w:val="auto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p>
          <w:pPr>
            <w:pageBreakBefore w:val="0"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textAlignment w:val="auto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tbl>
          <w:tblPr>
            <w:tblStyle w:val="15"/>
            <w:tblpPr w:leftFromText="187" w:rightFromText="187" w:horzAnchor="margin" w:tblpXSpec="center" w:tblpYSpec="bottom"/>
            <w:tblW w:w="9360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360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360" w:type="dxa"/>
              </w:tcPr>
              <w:p>
                <w:pPr>
                  <w:pStyle w:val="19"/>
                  <w:pageBreakBefore w:val="0"/>
                  <w:kinsoku/>
                  <w:wordWrap/>
                  <w:overflowPunct/>
                  <w:topLinePunct w:val="0"/>
                  <w:bidi w:val="0"/>
                  <w:snapToGrid/>
                  <w:spacing w:line="400" w:lineRule="exact"/>
                  <w:ind w:right="0" w:rightChars="0"/>
                  <w:jc w:val="right"/>
                  <w:textAlignment w:val="auto"/>
                  <w:rPr>
                    <w:rFonts w:hint="default" w:ascii="Times New Roman" w:hAnsi="Times New Roman" w:eastAsia="宋体" w:cs="Times New Roman"/>
                    <w:sz w:val="24"/>
                    <w:szCs w:val="24"/>
                  </w:rPr>
                </w:pPr>
                <w:r>
                  <w:rPr>
                    <w:rFonts w:hint="default" w:ascii="Times New Roman" w:hAnsi="Times New Roman" w:eastAsia="宋体" w:cs="Times New Roman"/>
                    <w:sz w:val="24"/>
                    <w:szCs w:val="24"/>
                  </w:rPr>
                  <w:t xml:space="preserve">  </w:t>
                </w:r>
                <w:sdt>
                  <w:sdtP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alias w:val="摘要"/>
                    <w:id w:val="8276291"/>
                    <w:showingPlcHdr/>
                    <w15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</w:sdtEndPr>
                  <w:sdtContent>
                    <w:r>
                      <w:rPr>
                        <w:rFonts w:hint="default" w:ascii="Times New Roman" w:hAnsi="Times New Roman" w:eastAsia="宋体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</w:p>
            </w:tc>
          </w:tr>
        </w:tbl>
        <w:p>
          <w:pPr>
            <w:pageBreakBefore w:val="0"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textAlignment w:val="auto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p>
          <w:pPr>
            <w:pageBreakBefore w:val="0"/>
            <w:widowControl/>
            <w:kinsoku/>
            <w:wordWrap/>
            <w:overflowPunct/>
            <w:topLinePunct w:val="0"/>
            <w:bidi w:val="0"/>
            <w:snapToGrid/>
            <w:spacing w:line="400" w:lineRule="exact"/>
            <w:ind w:right="0" w:rightChars="0"/>
            <w:jc w:val="left"/>
            <w:textAlignment w:val="auto"/>
            <w:rPr>
              <w:rFonts w:hint="default" w:ascii="Times New Roman" w:hAnsi="Times New Roman" w:eastAsia="宋体" w:cs="Times New Roman"/>
              <w:b/>
              <w:color w:val="000000"/>
              <w:kern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/>
              <w:color w:val="000000"/>
              <w:kern w:val="0"/>
              <w:sz w:val="24"/>
              <w:szCs w:val="24"/>
            </w:rPr>
            <w:br w:type="page"/>
          </w:r>
        </w:p>
      </w:sdtContent>
    </w:sdt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文档版本</w:t>
      </w:r>
    </w:p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tbl>
      <w:tblPr>
        <w:tblStyle w:val="17"/>
        <w:tblW w:w="9238" w:type="dxa"/>
        <w:tblInd w:w="108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850"/>
        <w:gridCol w:w="5812"/>
        <w:gridCol w:w="127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日期</w:t>
            </w:r>
          </w:p>
        </w:tc>
        <w:tc>
          <w:tcPr>
            <w:tcW w:w="850" w:type="dxa"/>
            <w:tcBorders>
              <w:top w:val="single" w:color="4472C4" w:themeColor="accent5" w:sz="8" w:space="0"/>
              <w:bottom w:val="single" w:color="4472C4" w:themeColor="accent5" w:sz="8" w:space="0"/>
              <w:insideH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版本</w:t>
            </w:r>
          </w:p>
        </w:tc>
        <w:tc>
          <w:tcPr>
            <w:tcW w:w="5812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修订说明</w:t>
            </w:r>
          </w:p>
        </w:tc>
        <w:tc>
          <w:tcPr>
            <w:tcW w:w="1276" w:type="dxa"/>
            <w:tcBorders>
              <w:top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修订人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left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2017/0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850" w:type="dxa"/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812" w:type="dxa"/>
            <w:tcBorders>
              <w:left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初版，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SeesharpTool.JXI.Mathematics.Curvefitting</w:t>
            </w:r>
          </w:p>
        </w:tc>
        <w:tc>
          <w:tcPr>
            <w:tcW w:w="1276" w:type="dxa"/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0" w:right="0" w:rightChars="0" w:hanging="42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谢晓姣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2" w:right="0" w:rightChars="0" w:hanging="422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2" w:right="0" w:rightChars="0" w:hanging="422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</w:p>
        </w:tc>
        <w:tc>
          <w:tcPr>
            <w:tcW w:w="5812" w:type="dxa"/>
            <w:tcBorders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2" w:right="0" w:rightChars="0" w:hanging="422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20"/>
              <w:pageBreakBefore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ind w:left="422" w:right="0" w:rightChars="0" w:hanging="422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center"/>
        <w:textAlignment w:val="auto"/>
        <w:outlineLvl w:val="0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_Toc9700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szCs w:val="24"/>
          <w:lang w:val="en-US" w:eastAsia="zh-CN"/>
        </w:rPr>
        <w:t>CurveFitting</w:t>
      </w:r>
      <w:r>
        <w:tab/>
      </w:r>
      <w:r>
        <w:fldChar w:fldCharType="begin"/>
      </w:r>
      <w:r>
        <w:instrText xml:space="preserve"> PAGEREF _Toc9700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_Toc11840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1.1. </w:t>
      </w:r>
      <w:r>
        <w:rPr>
          <w:rFonts w:hint="default" w:ascii="Times New Roman" w:hAnsi="Times New Roman" w:eastAsia="宋体" w:cs="Times New Roman"/>
          <w:szCs w:val="24"/>
          <w:lang w:val="en-US" w:eastAsia="zh-CN"/>
        </w:rPr>
        <w:t>CurveFitting介绍</w:t>
      </w:r>
      <w:r>
        <w:tab/>
      </w:r>
      <w:r>
        <w:fldChar w:fldCharType="begin"/>
      </w:r>
      <w:r>
        <w:instrText xml:space="preserve"> PAGEREF _Toc11840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_Toc6899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1.2. </w:t>
      </w:r>
      <w:r>
        <w:rPr>
          <w:rFonts w:hint="default"/>
          <w:szCs w:val="24"/>
          <w:lang w:val="en-US" w:eastAsia="zh-CN"/>
        </w:rPr>
        <w:t>线性拟合</w:t>
      </w:r>
      <w:r>
        <w:tab/>
      </w:r>
      <w:r>
        <w:fldChar w:fldCharType="begin"/>
      </w:r>
      <w:r>
        <w:instrText xml:space="preserve"> PAGEREF _Toc6899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_Toc21486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1.2.1. </w:t>
      </w:r>
      <w:r>
        <w:rPr>
          <w:rFonts w:hint="default"/>
          <w:szCs w:val="24"/>
          <w:lang w:val="en-US" w:eastAsia="zh-CN"/>
        </w:rPr>
        <w:t>拟合原型</w:t>
      </w:r>
      <w:r>
        <w:tab/>
      </w:r>
      <w:r>
        <w:fldChar w:fldCharType="begin"/>
      </w:r>
      <w:r>
        <w:instrText xml:space="preserve"> PAGEREF _Toc21486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_Toc14962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1.2.2. </w:t>
      </w:r>
      <w:r>
        <w:rPr>
          <w:rFonts w:hint="default"/>
          <w:szCs w:val="24"/>
          <w:lang w:val="en-US" w:eastAsia="zh-CN"/>
        </w:rPr>
        <w:t>拟合函数</w:t>
      </w:r>
      <w:r>
        <w:tab/>
      </w:r>
      <w:r>
        <w:fldChar w:fldCharType="begin"/>
      </w:r>
      <w:r>
        <w:instrText xml:space="preserve"> PAGEREF _Toc14962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_Toc26235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1.2.3. </w:t>
      </w:r>
      <w:r>
        <w:rPr>
          <w:rFonts w:hint="default"/>
          <w:szCs w:val="24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_Toc26235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_Toc18389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1.3. </w:t>
      </w:r>
      <w:r>
        <w:rPr>
          <w:rFonts w:hint="eastAsia"/>
          <w:szCs w:val="24"/>
          <w:lang w:val="en-US" w:eastAsia="zh-CN"/>
        </w:rPr>
        <w:t>指数</w:t>
      </w:r>
      <w:r>
        <w:rPr>
          <w:rFonts w:hint="default"/>
          <w:szCs w:val="24"/>
          <w:lang w:val="en-US" w:eastAsia="zh-CN"/>
        </w:rPr>
        <w:t>拟合</w:t>
      </w:r>
      <w:r>
        <w:tab/>
      </w:r>
      <w:r>
        <w:fldChar w:fldCharType="begin"/>
      </w:r>
      <w:r>
        <w:instrText xml:space="preserve"> PAGEREF _Toc18389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_Toc9940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1.3.1. </w:t>
      </w:r>
      <w:r>
        <w:rPr>
          <w:rFonts w:hint="default"/>
          <w:szCs w:val="24"/>
          <w:lang w:val="en-US" w:eastAsia="zh-CN"/>
        </w:rPr>
        <w:t>拟合原型</w:t>
      </w:r>
      <w:r>
        <w:tab/>
      </w:r>
      <w:r>
        <w:fldChar w:fldCharType="begin"/>
      </w:r>
      <w:r>
        <w:instrText xml:space="preserve"> PAGEREF _Toc9940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_Toc9822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1.3.2. </w:t>
      </w:r>
      <w:r>
        <w:rPr>
          <w:rFonts w:hint="default"/>
          <w:szCs w:val="24"/>
          <w:lang w:val="en-US" w:eastAsia="zh-CN"/>
        </w:rPr>
        <w:t>拟合函数</w:t>
      </w:r>
      <w:r>
        <w:tab/>
      </w:r>
      <w:r>
        <w:fldChar w:fldCharType="begin"/>
      </w:r>
      <w:r>
        <w:instrText xml:space="preserve"> PAGEREF _Toc9822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_Toc8476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1.3.3. </w:t>
      </w:r>
      <w:r>
        <w:rPr>
          <w:rFonts w:hint="default"/>
          <w:szCs w:val="24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_Toc8476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_Toc6145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1.4. </w:t>
      </w:r>
      <w:r>
        <w:rPr>
          <w:rFonts w:hint="eastAsia"/>
          <w:szCs w:val="24"/>
          <w:lang w:val="en-US" w:eastAsia="zh-CN"/>
        </w:rPr>
        <w:t>多项式</w:t>
      </w:r>
      <w:r>
        <w:rPr>
          <w:rFonts w:hint="default"/>
          <w:szCs w:val="24"/>
          <w:lang w:val="en-US" w:eastAsia="zh-CN"/>
        </w:rPr>
        <w:t>拟合</w:t>
      </w:r>
      <w:r>
        <w:tab/>
      </w:r>
      <w:r>
        <w:fldChar w:fldCharType="begin"/>
      </w:r>
      <w:r>
        <w:instrText xml:space="preserve"> PAGEREF _Toc6145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_Toc17511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1.4.1. </w:t>
      </w:r>
      <w:r>
        <w:rPr>
          <w:rFonts w:hint="default"/>
          <w:szCs w:val="24"/>
          <w:lang w:val="en-US" w:eastAsia="zh-CN"/>
        </w:rPr>
        <w:t>拟合原型</w:t>
      </w:r>
      <w:r>
        <w:tab/>
      </w:r>
      <w:r>
        <w:fldChar w:fldCharType="begin"/>
      </w:r>
      <w:r>
        <w:instrText xml:space="preserve"> PAGEREF _Toc17511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_Toc30890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1.4.2. </w:t>
      </w:r>
      <w:r>
        <w:rPr>
          <w:rFonts w:hint="default"/>
          <w:szCs w:val="24"/>
          <w:lang w:val="en-US" w:eastAsia="zh-CN"/>
        </w:rPr>
        <w:t>拟合函数</w:t>
      </w:r>
      <w:r>
        <w:tab/>
      </w:r>
      <w:r>
        <w:fldChar w:fldCharType="begin"/>
      </w:r>
      <w:r>
        <w:instrText xml:space="preserve"> PAGEREF _Toc30890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Cs w:val="24"/>
        </w:rPr>
        <w:instrText xml:space="preserve"> HYPERLINK \l _Toc10606 </w:instrText>
      </w:r>
      <w:r>
        <w:rPr>
          <w:rFonts w:hint="default" w:ascii="Times New Roman" w:hAnsi="Times New Roman" w:eastAsia="宋体" w:cs="Times New Roman"/>
          <w:kern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1.4.3. </w:t>
      </w:r>
      <w:r>
        <w:rPr>
          <w:rFonts w:hint="default"/>
          <w:szCs w:val="24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_Toc10606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4"/>
        </w:rPr>
        <w:fldChar w:fldCharType="end"/>
      </w: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</w:rPr>
      </w:pPr>
    </w:p>
    <w:p>
      <w:pPr>
        <w:pStyle w:val="3"/>
        <w:keepLines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before="120" w:after="0"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482"/>
      <w:bookmarkStart w:id="1" w:name="_Toc20643"/>
      <w:bookmarkStart w:id="2" w:name="_Toc484461705"/>
      <w:bookmarkStart w:id="3" w:name="_Toc485732300"/>
    </w:p>
    <w:bookmarkEnd w:id="0"/>
    <w:bookmarkEnd w:id="1"/>
    <w:bookmarkEnd w:id="2"/>
    <w:bookmarkEnd w:id="3"/>
    <w:p>
      <w:pPr>
        <w:pStyle w:val="2"/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4" w:name="_Toc970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CurveFitting</w:t>
      </w:r>
      <w:bookmarkEnd w:id="4"/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5" w:name="_Toc1184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CurveFitting介绍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CurveFitting包括线性拟合、指数拟合、多项式拟合。</w:t>
      </w:r>
    </w:p>
    <w:p>
      <w:pPr>
        <w:pStyle w:val="3"/>
        <w:rPr>
          <w:rFonts w:hint="default"/>
          <w:sz w:val="24"/>
          <w:szCs w:val="24"/>
          <w:lang w:val="en-US" w:eastAsia="zh-CN"/>
        </w:rPr>
      </w:pPr>
      <w:bookmarkStart w:id="6" w:name="_Toc6899"/>
      <w:r>
        <w:rPr>
          <w:rFonts w:hint="default"/>
          <w:sz w:val="24"/>
          <w:szCs w:val="24"/>
          <w:lang w:val="en-US" w:eastAsia="zh-CN"/>
        </w:rPr>
        <w:t>线性拟合</w:t>
      </w:r>
      <w:bookmarkEnd w:id="6"/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7" w:name="_Toc21486"/>
      <w:r>
        <w:rPr>
          <w:rFonts w:hint="default"/>
          <w:sz w:val="24"/>
          <w:szCs w:val="24"/>
          <w:lang w:val="en-US" w:eastAsia="zh-CN"/>
        </w:rPr>
        <w:t>拟合原型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线性拟合的拟合原型如下：</w:t>
      </w:r>
    </w:p>
    <w:p>
      <w:pPr>
        <w:pageBreakBefore w:val="0"/>
        <w:kinsoku/>
        <w:wordWrap/>
        <w:overflowPunct/>
        <w:topLinePunct w:val="0"/>
        <w:bidi w:val="0"/>
        <w:snapToGrid/>
        <w:spacing w:line="400" w:lineRule="exact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5" o:spt="75" type="#_x0000_t75" style="height:16pt;width:1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t xml:space="preserve">         </w: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8" w:name="_Toc14962"/>
      <w:bookmarkStart w:id="18" w:name="_GoBack"/>
      <w:bookmarkEnd w:id="18"/>
      <w:r>
        <w:rPr>
          <w:rFonts w:hint="default"/>
          <w:sz w:val="24"/>
          <w:szCs w:val="24"/>
          <w:lang w:val="en-US" w:eastAsia="zh-CN"/>
        </w:rPr>
        <w:t>拟合函数</w:t>
      </w:r>
      <w:bookmarkEnd w:id="8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线性拟合类的多态方法：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其中，x为输入数据的横坐标，y为输入数据的纵坐标，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为用户感兴趣的x值，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fittedY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对应的拟合值，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slope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为斜率，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intercept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为截距。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y的数组长度必须一致，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interestX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fittedY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的数组长度必须一致!</w: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9" w:name="_Toc26235"/>
      <w:r>
        <w:rPr>
          <w:rFonts w:hint="default"/>
          <w:sz w:val="24"/>
          <w:szCs w:val="24"/>
          <w:lang w:val="en-US" w:eastAsia="zh-CN"/>
        </w:rPr>
        <w:t>范例</w:t>
      </w:r>
      <w:bookmarkEnd w:id="9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x = { 1, 2, 3, 4, 5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y = { 3, 5, 7, 9, 11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interception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data =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B91AF"/>
          <w:sz w:val="24"/>
          <w:szCs w:val="24"/>
        </w:rPr>
        <w:t>EasyCurveFitting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.LinearFit(x, y,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data,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slop,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interception);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data={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3, 5, 7, 9, 11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slop=2;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Interception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sz w:val="24"/>
          <w:szCs w:val="24"/>
          <w:lang w:val="en-US" w:eastAsia="zh-CN"/>
        </w:rPr>
      </w:pPr>
      <w:bookmarkStart w:id="10" w:name="_Toc18389"/>
      <w:r>
        <w:rPr>
          <w:rFonts w:hint="eastAsia"/>
          <w:sz w:val="24"/>
          <w:szCs w:val="24"/>
          <w:lang w:val="en-US" w:eastAsia="zh-CN"/>
        </w:rPr>
        <w:t>指数</w:t>
      </w:r>
      <w:r>
        <w:rPr>
          <w:rFonts w:hint="default"/>
          <w:sz w:val="24"/>
          <w:szCs w:val="24"/>
          <w:lang w:val="en-US" w:eastAsia="zh-CN"/>
        </w:rPr>
        <w:t>拟合</w:t>
      </w:r>
      <w:bookmarkEnd w:id="10"/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11" w:name="_Toc9940"/>
      <w:r>
        <w:rPr>
          <w:rFonts w:hint="default"/>
          <w:sz w:val="24"/>
          <w:szCs w:val="24"/>
          <w:lang w:val="en-US" w:eastAsia="zh-CN"/>
        </w:rPr>
        <w:t>拟合原型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指数拟合的拟合原型如下：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object>
          <v:shape id="_x0000_i1027" o:spt="75" type="#_x0000_t75" style="height:13.95pt;width: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12" w:name="_Toc9822"/>
      <w:r>
        <w:rPr>
          <w:rFonts w:hint="default"/>
          <w:sz w:val="24"/>
          <w:szCs w:val="24"/>
          <w:lang w:val="en-US" w:eastAsia="zh-CN"/>
        </w:rPr>
        <w:t>拟合函数</w:t>
      </w:r>
      <w:bookmarkEnd w:id="12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指数拟合类的多态方法：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其中，x为输入数据的横坐标，y为输入数据的纵坐标，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为用户感兴趣的x值，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fittedY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对应的拟合值，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amplitude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为幅值，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damping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为衰减，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offset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为偏移量（目前为0，即没有偏移量）。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y的数组长度必须一致，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interestX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fittedY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的数组长度必须一致!</w: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13" w:name="_Toc8476"/>
      <w:r>
        <w:rPr>
          <w:rFonts w:hint="default"/>
          <w:sz w:val="24"/>
          <w:szCs w:val="24"/>
          <w:lang w:val="en-US" w:eastAsia="zh-CN"/>
        </w:rPr>
        <w:t>范例</w:t>
      </w:r>
      <w:bookmarkEnd w:id="13"/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x = { 1, 2, 3, 4, 5 };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 =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 {</w:t>
      </w:r>
    </w:p>
    <w:p>
      <w:pPr>
        <w:spacing w:beforeLines="0" w:afterLines="0"/>
        <w:ind w:firstLine="240" w:firstLineChars="10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y[i] = System.</w:t>
      </w:r>
      <w:r>
        <w:rPr>
          <w:rFonts w:hint="default" w:ascii="Times New Roman" w:hAnsi="Times New Roman" w:eastAsia="宋体" w:cs="Times New Roman"/>
          <w:color w:val="2B91AF"/>
          <w:sz w:val="24"/>
          <w:szCs w:val="24"/>
        </w:rPr>
        <w:t>Math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.Exp(1.7 * x[i]) * (2.6);</w:t>
      </w:r>
    </w:p>
    <w:p>
      <w:pPr>
        <w:spacing w:beforeLines="0" w:afterLines="0"/>
        <w:ind w:firstLine="240" w:firstLineChars="10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 = 0;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data =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B91AF"/>
          <w:sz w:val="24"/>
          <w:szCs w:val="24"/>
        </w:rPr>
        <w:t>EasyCurveFitting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.ExponentialFit(x, y,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data,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offset);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data={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14.232263218490726, 77.906660123232257, 426.45695897974457, 2334.4029582910866, 12778.398984777754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amplitude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=2.600000000000001;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damping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=1.7;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Offset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=0；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sz w:val="24"/>
          <w:szCs w:val="24"/>
          <w:lang w:val="en-US" w:eastAsia="zh-CN"/>
        </w:rPr>
      </w:pPr>
      <w:bookmarkStart w:id="14" w:name="_Toc6145"/>
      <w:r>
        <w:rPr>
          <w:rFonts w:hint="eastAsia"/>
          <w:sz w:val="24"/>
          <w:szCs w:val="24"/>
          <w:lang w:val="en-US" w:eastAsia="zh-CN"/>
        </w:rPr>
        <w:t>多项式</w:t>
      </w:r>
      <w:r>
        <w:rPr>
          <w:rFonts w:hint="default"/>
          <w:sz w:val="24"/>
          <w:szCs w:val="24"/>
          <w:lang w:val="en-US" w:eastAsia="zh-CN"/>
        </w:rPr>
        <w:t>拟合</w:t>
      </w:r>
      <w:bookmarkEnd w:id="14"/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15" w:name="_Toc17511"/>
      <w:r>
        <w:rPr>
          <w:rFonts w:hint="default"/>
          <w:sz w:val="24"/>
          <w:szCs w:val="24"/>
          <w:lang w:val="en-US" w:eastAsia="zh-CN"/>
        </w:rPr>
        <w:t>拟合原型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/>
        </w:rPr>
        <w:t>多项式拟合的拟合原型如下：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outlineLvl w:val="9"/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4"/>
          <w:szCs w:val="24"/>
          <w:lang w:val="en-US" w:eastAsia="zh-CN"/>
        </w:rPr>
        <w:object>
          <v:shape id="_x0000_i1028" o:spt="75" type="#_x0000_t75" style="height:35pt;width:2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object>
          <v:shape id="_x0000_i1029" o:spt="75" type="#_x0000_t75" style="height:13.95pt;width: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16" w:name="_Toc30890"/>
      <w:r>
        <w:rPr>
          <w:rFonts w:hint="default"/>
          <w:sz w:val="24"/>
          <w:szCs w:val="24"/>
          <w:lang w:val="en-US" w:eastAsia="zh-CN"/>
        </w:rPr>
        <w:t>拟合函数</w:t>
      </w:r>
      <w:bookmarkEnd w:id="16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多项式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拟合类的多态方法：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out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coefficients)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fittedY)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PolynomialFit(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[] coefficients)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其中，x为输入数据的横坐标，y为输入数据的纵坐标，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order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为拟合阶数，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为用户感兴趣的x值，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fittedY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interestX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对应的拟合值，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coefficients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为多项式拟合系数。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y的数组长度必须一致，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interestX</w:t>
      </w:r>
      <w:r>
        <w:rPr>
          <w:rFonts w:hint="eastAsia" w:cs="Times New Roman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fittedY</w:t>
      </w:r>
      <w:r>
        <w:rPr>
          <w:rFonts w:hint="eastAsia" w:cs="Times New Roman"/>
          <w:b/>
          <w:bCs/>
          <w:color w:val="000000"/>
          <w:sz w:val="24"/>
          <w:szCs w:val="24"/>
          <w:lang w:val="en-US" w:eastAsia="zh-CN"/>
        </w:rPr>
        <w:t>的数组长度必须一致!</w: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bookmarkStart w:id="17" w:name="_Toc10606"/>
      <w:r>
        <w:rPr>
          <w:rFonts w:hint="default"/>
          <w:sz w:val="24"/>
          <w:szCs w:val="24"/>
          <w:lang w:val="en-US" w:eastAsia="zh-CN"/>
        </w:rPr>
        <w:t>范例</w:t>
      </w:r>
      <w:bookmarkEnd w:id="17"/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[] x = { 1, 2, 3, 4, 5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[] y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ind w:firstLine="480" w:firstLineChars="20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y[i] = 10 + -10 * x[i]  -5 * System.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</w:rPr>
        <w:t>Math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.Pow(x[i], 2) -4 * System.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</w:rPr>
        <w:t>Math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.Pow(x[i], 3);</w:t>
      </w:r>
    </w:p>
    <w:p>
      <w:pPr>
        <w:spacing w:beforeLines="0" w:afterLines="0"/>
        <w:ind w:firstLine="240" w:firstLineChars="10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[] coe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[] data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[5];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order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</w:rPr>
        <w:t>EasyCurveFitting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.PolynomialFit(x, y, order,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data,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</w:rPr>
        <w:t>ref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 xml:space="preserve"> coe);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data={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-9.0000000000094, -61.999999999993193, -172.99999999999784, -5.00000000002835, -664.99999999999807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coe</w:t>
      </w:r>
      <w:r>
        <w:rPr>
          <w:rFonts w:hint="eastAsia" w:eastAsia="新宋体" w:cs="Times New Roman"/>
          <w:color w:val="000000"/>
          <w:sz w:val="24"/>
          <w:szCs w:val="24"/>
          <w:lang w:val="en-US" w:eastAsia="zh-CN"/>
        </w:rPr>
        <w:t>={9.99999999993561，-9.9999999999196483，-5.00000000002835，-3.9999999999970135}；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-Condense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 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第 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1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19050</wp:posOffset>
          </wp:positionV>
          <wp:extent cx="2695575" cy="673735"/>
          <wp:effectExtent l="0" t="0" r="9525" b="12065"/>
          <wp:wrapNone/>
          <wp:docPr id="2" name="图片 2" descr="D:\市场\原始素材\logo\标准\聚星Logo2016蓝s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市场\原始素材\logo\标准\聚星Logo2016蓝s20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5575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18"/>
      </w:rPr>
      <w:t>上海市浦东新区张东路1387号10幢02号2-3楼</w:t>
    </w:r>
  </w:p>
  <w:p>
    <w:pPr>
      <w:pStyle w:val="7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24"/>
      </w:rPr>
    </w:pPr>
    <w:r>
      <w:rPr>
        <w:rFonts w:hint="eastAsia" w:ascii="微软雅黑" w:hAnsi="微软雅黑" w:eastAsia="微软雅黑"/>
        <w:sz w:val="18"/>
      </w:rPr>
      <w:t>邮编:</w:t>
    </w:r>
    <w:r>
      <w:rPr>
        <w:rFonts w:ascii="微软雅黑" w:hAnsi="微软雅黑" w:eastAsia="微软雅黑"/>
        <w:sz w:val="18"/>
      </w:rPr>
      <w:t xml:space="preserve"> 20</w:t>
    </w:r>
    <w:r>
      <w:rPr>
        <w:rFonts w:hint="eastAsia" w:ascii="微软雅黑" w:hAnsi="微软雅黑" w:eastAsia="微软雅黑"/>
        <w:sz w:val="18"/>
      </w:rPr>
      <w:t>1203</w:t>
    </w:r>
  </w:p>
  <w:p>
    <w:pPr>
      <w:pStyle w:val="7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18"/>
      </w:rPr>
    </w:pPr>
    <w:r>
      <w:rPr>
        <w:rFonts w:hint="eastAsia" w:ascii="微软雅黑" w:hAnsi="微软雅黑" w:eastAsia="微软雅黑"/>
        <w:sz w:val="18"/>
      </w:rPr>
      <w:t>电话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879 5660</w:t>
    </w:r>
    <w:r>
      <w:rPr>
        <w:rFonts w:ascii="微软雅黑" w:hAnsi="微软雅黑" w:eastAsia="微软雅黑"/>
        <w:sz w:val="18"/>
      </w:rPr>
      <w:t xml:space="preserve">  </w:t>
    </w:r>
    <w:r>
      <w:rPr>
        <w:rFonts w:hint="eastAsia" w:ascii="微软雅黑" w:hAnsi="微软雅黑" w:eastAsia="微软雅黑"/>
        <w:sz w:val="18"/>
      </w:rPr>
      <w:t>传真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879 5670</w:t>
    </w:r>
  </w:p>
  <w:p>
    <w:pPr>
      <w:pStyle w:val="7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color w:val="0000FF"/>
        <w:sz w:val="18"/>
      </w:rPr>
    </w:pPr>
    <w:r>
      <w:rPr>
        <w:rFonts w:hint="eastAsia" w:ascii="微软雅黑" w:hAnsi="微软雅黑" w:eastAsia="微软雅黑"/>
        <w:color w:val="0000FF"/>
        <w:sz w:val="18"/>
      </w:rPr>
      <w:t>Info@jxinst.com   www.j</w:t>
    </w:r>
    <w:r>
      <w:rPr>
        <w:rFonts w:ascii="微软雅黑" w:hAnsi="微软雅黑" w:eastAsia="微软雅黑"/>
        <w:color w:val="0000FF"/>
        <w:sz w:val="18"/>
      </w:rPr>
      <w:t>xinst</w:t>
    </w:r>
    <w:r>
      <w:rPr>
        <w:rFonts w:hint="eastAsia" w:ascii="微软雅黑" w:hAnsi="微软雅黑" w:eastAsia="微软雅黑"/>
        <w:color w:val="0000FF"/>
        <w:sz w:val="18"/>
      </w:rPr>
      <w:t>.com</w:t>
    </w:r>
  </w:p>
  <w:p>
    <w:pPr>
      <w:pStyle w:val="7"/>
      <w:tabs>
        <w:tab w:val="center" w:pos="4320"/>
        <w:tab w:val="right" w:pos="8640"/>
        <w:tab w:val="clear" w:pos="4153"/>
        <w:tab w:val="clear" w:pos="8306"/>
      </w:tabs>
      <w:rPr>
        <w:sz w:val="28"/>
      </w:rPr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2711"/>
    <w:multiLevelType w:val="multilevel"/>
    <w:tmpl w:val="59A52711"/>
    <w:lvl w:ilvl="0" w:tentative="0">
      <w:start w:val="1"/>
      <w:numFmt w:val="decimal"/>
      <w:pStyle w:val="2"/>
      <w:isLgl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691C21E6"/>
    <w:multiLevelType w:val="multilevel"/>
    <w:tmpl w:val="691C21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05124"/>
    <w:rsid w:val="06012C70"/>
    <w:rsid w:val="065300EB"/>
    <w:rsid w:val="084D2AD5"/>
    <w:rsid w:val="08A1732C"/>
    <w:rsid w:val="0AA86A06"/>
    <w:rsid w:val="0B0976AA"/>
    <w:rsid w:val="0CBD7CFD"/>
    <w:rsid w:val="111C1EA3"/>
    <w:rsid w:val="14606399"/>
    <w:rsid w:val="149E1268"/>
    <w:rsid w:val="16E12369"/>
    <w:rsid w:val="18981732"/>
    <w:rsid w:val="19F74BF1"/>
    <w:rsid w:val="1AD160AC"/>
    <w:rsid w:val="1DE53F13"/>
    <w:rsid w:val="1E6C1F3D"/>
    <w:rsid w:val="1FA15237"/>
    <w:rsid w:val="20605D48"/>
    <w:rsid w:val="20933DF1"/>
    <w:rsid w:val="211C1B90"/>
    <w:rsid w:val="258D5537"/>
    <w:rsid w:val="25D21F45"/>
    <w:rsid w:val="277716FA"/>
    <w:rsid w:val="27A4640C"/>
    <w:rsid w:val="2894022A"/>
    <w:rsid w:val="29A2145E"/>
    <w:rsid w:val="2E172E81"/>
    <w:rsid w:val="2EEA4629"/>
    <w:rsid w:val="2F225AB0"/>
    <w:rsid w:val="2FAD0ED0"/>
    <w:rsid w:val="30D154E5"/>
    <w:rsid w:val="31403E2F"/>
    <w:rsid w:val="314458AD"/>
    <w:rsid w:val="32B85A89"/>
    <w:rsid w:val="33376D00"/>
    <w:rsid w:val="33993C88"/>
    <w:rsid w:val="379A2174"/>
    <w:rsid w:val="388E29B1"/>
    <w:rsid w:val="3A3921BA"/>
    <w:rsid w:val="3B401603"/>
    <w:rsid w:val="3BD640AF"/>
    <w:rsid w:val="3C5C6E35"/>
    <w:rsid w:val="3CB140C7"/>
    <w:rsid w:val="3CDB0675"/>
    <w:rsid w:val="3EB93C45"/>
    <w:rsid w:val="419000EA"/>
    <w:rsid w:val="42AA2E49"/>
    <w:rsid w:val="436B4200"/>
    <w:rsid w:val="458746D3"/>
    <w:rsid w:val="45BF2372"/>
    <w:rsid w:val="47570999"/>
    <w:rsid w:val="482E07C8"/>
    <w:rsid w:val="491F224E"/>
    <w:rsid w:val="49EE19E7"/>
    <w:rsid w:val="4A491A48"/>
    <w:rsid w:val="4B063C43"/>
    <w:rsid w:val="4B2E2F84"/>
    <w:rsid w:val="4BCB0F3D"/>
    <w:rsid w:val="50F22871"/>
    <w:rsid w:val="51826763"/>
    <w:rsid w:val="5402122F"/>
    <w:rsid w:val="54F77E7E"/>
    <w:rsid w:val="56E8348C"/>
    <w:rsid w:val="57890C6F"/>
    <w:rsid w:val="5BCB0B45"/>
    <w:rsid w:val="5BD576D7"/>
    <w:rsid w:val="5CEC586A"/>
    <w:rsid w:val="5E7E77D6"/>
    <w:rsid w:val="60EF0E3C"/>
    <w:rsid w:val="61AE040E"/>
    <w:rsid w:val="61D37875"/>
    <w:rsid w:val="63A22AEA"/>
    <w:rsid w:val="693F14DB"/>
    <w:rsid w:val="6B557453"/>
    <w:rsid w:val="6E5A1CEC"/>
    <w:rsid w:val="6F542E50"/>
    <w:rsid w:val="6F553DBD"/>
    <w:rsid w:val="6F89090B"/>
    <w:rsid w:val="71686078"/>
    <w:rsid w:val="72195979"/>
    <w:rsid w:val="72724EBD"/>
    <w:rsid w:val="73D87484"/>
    <w:rsid w:val="75071B4C"/>
    <w:rsid w:val="75360B74"/>
    <w:rsid w:val="75F63261"/>
    <w:rsid w:val="763730AB"/>
    <w:rsid w:val="77266405"/>
    <w:rsid w:val="79871C22"/>
    <w:rsid w:val="79F128C1"/>
    <w:rsid w:val="7EA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beforeLines="0" w:beforeAutospacing="0" w:after="330" w:afterLines="0" w:afterAutospacing="0" w:line="576" w:lineRule="auto"/>
      <w:ind w:left="0"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tabs>
        <w:tab w:val="left" w:pos="420"/>
      </w:tabs>
      <w:adjustRightInd w:val="0"/>
      <w:spacing w:before="260" w:after="260" w:line="416" w:lineRule="atLeast"/>
      <w:ind w:left="0" w:firstLine="0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adjustRightInd w:val="0"/>
      <w:spacing w:before="260" w:after="260" w:line="416" w:lineRule="atLeast"/>
      <w:ind w:left="709" w:hanging="709"/>
      <w:outlineLvl w:val="2"/>
    </w:pPr>
    <w:rPr>
      <w:rFonts w:asciiTheme="majorHAnsi" w:hAnsiTheme="majorHAnsi"/>
      <w:b/>
      <w:bCs/>
      <w:kern w:val="0"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List"/>
    <w:basedOn w:val="1"/>
    <w:qFormat/>
    <w:uiPriority w:val="0"/>
    <w:pPr>
      <w:ind w:left="200" w:hanging="200" w:hangingChars="200"/>
      <w:contextualSpacing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Emphasis"/>
    <w:basedOn w:val="11"/>
    <w:qFormat/>
    <w:uiPriority w:val="0"/>
    <w:rPr>
      <w:color w:val="CC0000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ite"/>
    <w:basedOn w:val="11"/>
    <w:qFormat/>
    <w:uiPriority w:val="0"/>
    <w:rPr>
      <w:color w:val="00800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7">
    <w:name w:val="Light List Accent 5"/>
    <w:basedOn w:val="15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18">
    <w:name w:val="Light Grid Accent 1"/>
    <w:basedOn w:val="15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customStyle="1" w:styleId="1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">
    <w:name w:val="修订表格1"/>
    <w:basedOn w:val="9"/>
    <w:qFormat/>
    <w:uiPriority w:val="0"/>
    <w:rPr>
      <w:rFonts w:asciiTheme="minorHAnsi" w:hAnsiTheme="minorHAnsi" w:eastAsiaTheme="minorEastAsia" w:cstheme="minorBidi"/>
      <w:szCs w:val="22"/>
    </w:rPr>
  </w:style>
  <w:style w:type="character" w:customStyle="1" w:styleId="21">
    <w:name w:val="op_dict3_lineone_result_tip"/>
    <w:basedOn w:val="11"/>
    <w:qFormat/>
    <w:uiPriority w:val="0"/>
    <w:rPr>
      <w:color w:val="999999"/>
    </w:rPr>
  </w:style>
  <w:style w:type="character" w:customStyle="1" w:styleId="22">
    <w:name w:val="op_dict_text2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2017-08-04T06:57:00Z</dcterms:created>
  <dc:creator>xiaojiaoxie</dc:creator>
  <cp:lastModifiedBy>xiaojiaoxie</cp:lastModifiedBy>
  <dcterms:modified xsi:type="dcterms:W3CDTF">2017-08-29T09:18:25Z</dcterms:modified>
  <dc:subject>user manual</dc:subject>
  <dc:title>SeesharpTools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