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p>
      <w:pPr>
        <w:pStyle w:val="Heading1"/>
      </w:pPr>
      <w:bookmarkStart w:id="20" w:name="pack-conformité-rgpd-légal-fingec"/>
      <w:r>
        <w:t xml:space="preserve">📂 Pack conformité RGPD &amp; légal — Fingec</w:t>
      </w:r>
      <w:bookmarkEnd w:id="20"/>
    </w:p>
    <w:p>
      <w:pPr>
        <w:pStyle w:val="BlockText"/>
      </w:pPr>
      <w:r>
        <w:t xml:space="preserve">Dossier de</w:t>
      </w:r>
      <w:r>
        <w:t xml:space="preserve"> </w:t>
      </w:r>
      <w:r>
        <w:rPr>
          <w:b/>
        </w:rPr>
        <w:t xml:space="preserve">conformité interne</w:t>
      </w:r>
      <w:r>
        <w:t xml:space="preserve"> </w:t>
      </w:r>
      <w:r>
        <w:t xml:space="preserve">pour l’application</w:t>
      </w:r>
      <w:r>
        <w:t xml:space="preserve"> </w:t>
      </w:r>
      <w:r>
        <w:rPr>
          <w:b/>
        </w:rPr>
        <w:t xml:space="preserve">app.fingec.fr</w:t>
      </w:r>
      <w:r>
        <w:t xml:space="preserve"> </w:t>
      </w:r>
      <w:r>
        <w:t xml:space="preserve">(espace SaaS du cabinet Fingec : traitement comptable TikTok/Shopify, gestion des clients et relances).</w:t>
      </w:r>
    </w:p>
    <w:p>
      <w:pPr>
        <w:pStyle w:val="BlockText"/>
      </w:pPr>
      <w:r>
        <w:rPr>
          <w:b/>
        </w:rPr>
        <w:t xml:space="preserve">Rédigé le : 2026-06-22.</w:t>
      </w:r>
      <w:r>
        <w:t xml:space="preserve"> </w:t>
      </w:r>
      <w:r>
        <w:t xml:space="preserve">Édité par Johan (JXPM).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3143b7d21d433429892aab8792a8a99d300f26"/>
      <w:r>
        <w:t xml:space="preserve">⚠️ À lire en premier — deux idées reçues à corriger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On ne « dépose » plus de dossier RGPD à la CNIL.</w:t>
      </w:r>
      <w:r>
        <w:t xml:space="preserve"> </w:t>
      </w:r>
      <w:r>
        <w:t xml:space="preserve">La déclaration/autorisation préalable a été</w:t>
      </w:r>
      <w:r>
        <w:t xml:space="preserve"> </w:t>
      </w:r>
      <w:r>
        <w:rPr>
          <w:b/>
        </w:rPr>
        <w:t xml:space="preserve">supprimée le 25 mai 2018</w:t>
      </w:r>
      <w:r>
        <w:t xml:space="preserve"> </w:t>
      </w:r>
      <w:r>
        <w:t xml:space="preserve">avec l’entrée en application du RGPD. Le régime actuel est celui de</w:t>
      </w:r>
      <w:r>
        <w:t xml:space="preserve"> </w:t>
      </w:r>
      <w:r>
        <w:rPr>
          <w:b/>
        </w:rPr>
        <w:t xml:space="preserve">l’« accountability » (responsabilité) : on tient cette documentation en interne et on la présente en cas de contrôle.</w:t>
      </w:r>
      <w:r>
        <w:t xml:space="preserve"> </w:t>
      </w:r>
      <w:r>
        <w:t xml:space="preserve">On ne saisit la CNIL que dans deux cas :</w:t>
      </w:r>
      <w:r>
        <w:t xml:space="preserve"> </w:t>
      </w:r>
      <w:r>
        <w:rPr>
          <w:b/>
        </w:rPr>
        <w:t xml:space="preserve">violation de données</w:t>
      </w:r>
      <w:r>
        <w:t xml:space="preserve"> </w:t>
      </w:r>
      <w:r>
        <w:t xml:space="preserve">(notification sous 72 h — voir</w:t>
      </w:r>
      <w:r>
        <w:t xml:space="preserve"> </w:t>
      </w:r>
      <w:r>
        <w:rPr>
          <w:rStyle w:val="VerbatimChar"/>
        </w:rPr>
        <w:t xml:space="preserve">procedure-violation-donnees.md</w:t>
      </w:r>
      <w:r>
        <w:t xml:space="preserve">) et, le cas échéant, désignation d’un DPO.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 B2B est concerné.</w:t>
      </w:r>
      <w:r>
        <w:t xml:space="preserve"> </w:t>
      </w:r>
      <w:r>
        <w:t xml:space="preserve">Un e-mail / nom professionnel nominatif (</w:t>
      </w:r>
      <w:r>
        <w:rPr>
          <w:rStyle w:val="VerbatimChar"/>
        </w:rPr>
        <w:t xml:space="preserve">prenom.nom@entreprise.fr</w:t>
      </w:r>
      <w:r>
        <w:t xml:space="preserve">)</w:t>
      </w:r>
      <w:r>
        <w:t xml:space="preserve"> </w:t>
      </w:r>
      <w:r>
        <w:rPr>
          <w:b/>
        </w:rPr>
        <w:t xml:space="preserve">est une donnée personnelle</w:t>
      </w:r>
      <w:r>
        <w:t xml:space="preserve"> </w:t>
      </w:r>
      <w:r>
        <w:t xml:space="preserve">au sens du RGPD. Le pack s’applique donc bien aux contacts « entreprises 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mposition-du-pack"/>
      <w:r>
        <w:t xml:space="preserve">📑 Composition du pack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Destinataire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Obligatoire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mentions-legales.md</w:t>
            </w:r>
          </w:p>
        </w:tc>
        <w:tc>
          <w:p>
            <w:pPr>
              <w:pStyle w:val="Compact"/>
              <w:jc w:val="left"/>
            </w:pPr>
            <w:r>
              <w:t xml:space="preserve">Public (LCEN)</w:t>
            </w:r>
          </w:p>
        </w:tc>
        <w:tc>
          <w:p>
            <w:pPr>
              <w:pStyle w:val="Compact"/>
              <w:jc w:val="left"/>
            </w:pPr>
            <w:r>
              <w:t xml:space="preserve">Visiteurs du site</w:t>
            </w:r>
          </w:p>
        </w:tc>
        <w:tc>
          <w:p>
            <w:pPr>
              <w:pStyle w:val="Compact"/>
              <w:jc w:val="left"/>
            </w:pPr>
            <w:r>
              <w:t xml:space="preserve">✅ Oui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politique-de-confidentialite.md</w:t>
            </w:r>
          </w:p>
        </w:tc>
        <w:tc>
          <w:p>
            <w:pPr>
              <w:pStyle w:val="Compact"/>
              <w:jc w:val="left"/>
            </w:pPr>
            <w:r>
              <w:t xml:space="preserve">Public (art. 13-14 RGPD) + section cookies</w:t>
            </w:r>
          </w:p>
        </w:tc>
        <w:tc>
          <w:p>
            <w:pPr>
              <w:pStyle w:val="Compact"/>
              <w:jc w:val="left"/>
            </w:pPr>
            <w:r>
              <w:t xml:space="preserve">Personnes concernées</w:t>
            </w:r>
          </w:p>
        </w:tc>
        <w:tc>
          <w:p>
            <w:pPr>
              <w:pStyle w:val="Compact"/>
              <w:jc w:val="left"/>
            </w:pPr>
            <w:r>
              <w:t xml:space="preserve">✅ Oui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cgu.md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p>
            <w:pPr>
              <w:pStyle w:val="Compact"/>
              <w:jc w:val="left"/>
            </w:pPr>
            <w:r>
              <w:t xml:space="preserve">Utilisateurs de l’espace</w:t>
            </w:r>
          </w:p>
        </w:tc>
        <w:tc>
          <w:p>
            <w:pPr>
              <w:pStyle w:val="Compact"/>
              <w:jc w:val="left"/>
            </w:pPr>
            <w:r>
              <w:t xml:space="preserve">Recommandé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registre-des-traitements.md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Interne</w:t>
            </w:r>
            <w:r>
              <w:t xml:space="preserve"> </w:t>
            </w:r>
            <w:r>
              <w:t xml:space="preserve">(art. 30 RGPD)</w:t>
            </w:r>
          </w:p>
        </w:tc>
        <w:tc>
          <w:p>
            <w:pPr>
              <w:pStyle w:val="Compact"/>
              <w:jc w:val="left"/>
            </w:pPr>
            <w:r>
              <w:t xml:space="preserve">CNIL en cas de contrôle</w:t>
            </w:r>
          </w:p>
        </w:tc>
        <w:tc>
          <w:p>
            <w:pPr>
              <w:pStyle w:val="Compact"/>
              <w:jc w:val="left"/>
            </w:pPr>
            <w:r>
              <w:t xml:space="preserve">✅ Oui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sous-traitants.md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Interne</w:t>
            </w:r>
            <w:r>
              <w:t xml:space="preserve"> </w:t>
            </w:r>
            <w:r>
              <w:t xml:space="preserve">(art. 28 RGPD)</w:t>
            </w:r>
          </w:p>
        </w:tc>
        <w:tc>
          <w:p>
            <w:pPr>
              <w:pStyle w:val="Compact"/>
              <w:jc w:val="left"/>
            </w:pPr>
            <w:r>
              <w:t xml:space="preserve">Audit / contrôle</w:t>
            </w:r>
          </w:p>
        </w:tc>
        <w:tc>
          <w:p>
            <w:pPr>
              <w:pStyle w:val="Compact"/>
              <w:jc w:val="left"/>
            </w:pPr>
            <w:r>
              <w:t xml:space="preserve">✅ Oui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politique-de-conservation.md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Interne</w:t>
            </w:r>
            <w:r>
              <w:t xml:space="preserve"> </w:t>
            </w:r>
            <w:r>
              <w:t xml:space="preserve">(+ résumé public)</w:t>
            </w:r>
          </w:p>
        </w:tc>
        <w:tc>
          <w:p>
            <w:pPr>
              <w:pStyle w:val="Compact"/>
              <w:jc w:val="left"/>
            </w:pPr>
            <w:r>
              <w:t xml:space="preserve">Audit / contrôle</w:t>
            </w:r>
          </w:p>
        </w:tc>
        <w:tc>
          <w:p>
            <w:pPr>
              <w:pStyle w:val="Compact"/>
              <w:jc w:val="left"/>
            </w:pPr>
            <w:r>
              <w:t xml:space="preserve">✅ Oui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procedure-violation-donnees.md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Interne</w:t>
            </w:r>
            <w:r>
              <w:t xml:space="preserve"> </w:t>
            </w:r>
            <w:r>
              <w:t xml:space="preserve">(art. 33-34)</w:t>
            </w:r>
          </w:p>
        </w:tc>
        <w:tc>
          <w:p>
            <w:pPr>
              <w:pStyle w:val="Compact"/>
              <w:jc w:val="left"/>
            </w:pPr>
            <w:r>
              <w:t xml:space="preserve">Équipe + CNIL si incident</w:t>
            </w:r>
          </w:p>
        </w:tc>
        <w:tc>
          <w:p>
            <w:pPr>
              <w:pStyle w:val="Compact"/>
              <w:jc w:val="left"/>
            </w:pPr>
            <w:r>
              <w:t xml:space="preserve">✅ Oui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dpa-modele-sous-traitance.md</w:t>
            </w:r>
          </w:p>
        </w:tc>
        <w:tc>
          <w:p>
            <w:pPr>
              <w:pStyle w:val="Compact"/>
              <w:jc w:val="left"/>
            </w:pPr>
            <w:r>
              <w:t xml:space="preserve">Modèle contractuel (art. 28)</w:t>
            </w:r>
          </w:p>
        </w:tc>
        <w:tc>
          <w:p>
            <w:pPr>
              <w:pStyle w:val="Compact"/>
              <w:jc w:val="left"/>
            </w:pPr>
            <w:r>
              <w:t xml:space="preserve">Clients / partenaires</w:t>
            </w:r>
          </w:p>
        </w:tc>
        <w:tc>
          <w:p>
            <w:pPr>
              <w:pStyle w:val="Compact"/>
              <w:jc w:val="left"/>
            </w:pPr>
            <w:r>
              <w:t xml:space="preserve">Selon rôle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evaluation-aipd.md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Interne</w:t>
            </w:r>
            <w:r>
              <w:t xml:space="preserve"> </w:t>
            </w:r>
            <w:r>
              <w:t xml:space="preserve">(art. 35)</w:t>
            </w:r>
          </w:p>
        </w:tc>
        <w:tc>
          <w:p>
            <w:pPr>
              <w:pStyle w:val="Compact"/>
              <w:jc w:val="left"/>
            </w:pPr>
            <w:r>
              <w:t xml:space="preserve">Trace de décision</w:t>
            </w:r>
          </w:p>
        </w:tc>
        <w:tc>
          <w:p>
            <w:pPr>
              <w:pStyle w:val="Compact"/>
              <w:jc w:val="left"/>
            </w:pPr>
            <w:r>
              <w:t xml:space="preserve">Conditionnel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tatut-actuel-prochaines-étapes"/>
      <w:r>
        <w:t xml:space="preserve">🧭 Statut actuel &amp; prochaines étapes</w:t>
      </w:r>
      <w:bookmarkEnd w:id="23"/>
    </w:p>
    <w:p>
      <w:pPr>
        <w:pStyle w:val="FirstParagraph"/>
      </w:pPr>
      <w:r>
        <w:rPr>
          <w:b/>
        </w:rPr>
        <w:t xml:space="preserve">Renseigné (2026-06-22)</w:t>
      </w:r>
      <w:r>
        <w:t xml:space="preserve"> </w:t>
      </w:r>
      <w:r>
        <w:t xml:space="preserve">: identité (Fingec EURL, capital 1 000 €, SIRET 808 015 994 00037, siège Geispolsheim, gérant Ohouo N’Katta), contact</w:t>
      </w:r>
      <w:r>
        <w:t xml:space="preserve"> </w:t>
      </w:r>
      <w:r>
        <w:rPr>
          <w:b/>
        </w:rPr>
        <w:t xml:space="preserve">expert@fingec.fr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+33 (0)9 83 00 08 43</w:t>
      </w:r>
      <w:r>
        <w:t xml:space="preserve">, hébergement Hostinger à</w:t>
      </w:r>
      <w:r>
        <w:t xml:space="preserve"> </w:t>
      </w:r>
      <w:r>
        <w:rPr>
          <w:b/>
        </w:rPr>
        <w:t xml:space="preserve">Paris (UE)</w:t>
      </w:r>
      <w:r>
        <w:t xml:space="preserve">, Google Workspace pro, DPO non désigné.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Seul</w:t>
      </w:r>
      <w:r>
        <w:rPr>
          <w:b/>
        </w:rPr>
        <w:t xml:space="preserve"> </w:t>
      </w:r>
      <w:r>
        <w:rPr>
          <w:rStyle w:val="VerbatimChar"/>
          <w:b/>
        </w:rPr>
        <w:t xml:space="preserve">[À COMPLÉTER]</w:t>
      </w:r>
      <w:r>
        <w:rPr>
          <w:b/>
        </w:rPr>
        <w:t xml:space="preserve"> </w:t>
      </w:r>
      <w:r>
        <w:rPr>
          <w:b/>
        </w:rPr>
        <w:t xml:space="preserve">restant</w:t>
      </w:r>
      <w:r>
        <w:t xml:space="preserve"> </w:t>
      </w:r>
      <w:r>
        <w:t xml:space="preserve">: n° d’inscription à l’Ordre des experts-comptables (conseil régional d’Alsace).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Rôle RGPD tranché</w:t>
      </w:r>
      <w:r>
        <w:t xml:space="preserve"> </w:t>
      </w:r>
      <w:r>
        <w:t xml:space="preserve">: Fingec agit en</w:t>
      </w:r>
      <w:r>
        <w:t xml:space="preserve"> </w:t>
      </w:r>
      <w:r>
        <w:rPr>
          <w:b/>
        </w:rPr>
        <w:t xml:space="preserve">responsable de traitement autonome</w:t>
      </w:r>
      <w:r>
        <w:t xml:space="preserve"> </w:t>
      </w:r>
      <w:r>
        <w:t xml:space="preserve">(décision 2026-06-22 ; voir</w:t>
      </w:r>
      <w:r>
        <w:t xml:space="preserve"> </w:t>
      </w:r>
      <w:r>
        <w:rPr>
          <w:rStyle w:val="VerbatimChar"/>
        </w:rPr>
        <w:t xml:space="preserve">registre-des-traitements.md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politique-de-confidentialite.md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Datacenter Hostinger confirmé en UE</w:t>
      </w:r>
      <w:r>
        <w:t xml:space="preserve"> </w:t>
      </w:r>
      <w:r>
        <w:t xml:space="preserve">(Paris). Reste à</w:t>
      </w:r>
      <w:r>
        <w:t xml:space="preserve"> </w:t>
      </w:r>
      <w:r>
        <w:rPr>
          <w:b/>
        </w:rPr>
        <w:t xml:space="preserve">archiver les DPA</w:t>
      </w:r>
      <w:r>
        <w:t xml:space="preserve"> </w:t>
      </w:r>
      <w:r>
        <w:t xml:space="preserve">(Google Workspace, Hostinger) — voir</w:t>
      </w:r>
      <w:r>
        <w:t xml:space="preserve"> </w:t>
      </w:r>
      <w:r>
        <w:rPr>
          <w:rStyle w:val="VerbatimChar"/>
        </w:rPr>
        <w:t xml:space="preserve">sous-traitants.md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Publier les documents publics</w:t>
      </w:r>
      <w:r>
        <w:t xml:space="preserve"> </w:t>
      </w:r>
      <w:r>
        <w:t xml:space="preserve">(mentions légales, politique de confidentialité, CGU) comme</w:t>
      </w:r>
      <w:r>
        <w:t xml:space="preserve"> </w:t>
      </w:r>
      <w:r>
        <w:rPr>
          <w:b/>
        </w:rPr>
        <w:t xml:space="preserve">pages du frontend</w:t>
      </w:r>
      <w:r>
        <w:t xml:space="preserve"> </w:t>
      </w:r>
      <w:r>
        <w:t xml:space="preserve">+ liens en pied de page. → chantier d’intégration, une fois les derniers placeholders remplis.</w:t>
      </w:r>
    </w:p>
    <w:p>
      <w:pPr>
        <w:numPr>
          <w:ilvl w:val="0"/>
          <w:numId w:val="1002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Purge de conservation mise en place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output/*.xlsx</w:t>
      </w:r>
      <w:r>
        <w:t xml:space="preserve"> </w:t>
      </w:r>
      <w:r>
        <w:t xml:space="preserve">(90 j) et</w:t>
      </w:r>
      <w:r>
        <w:t xml:space="preserve"> </w:t>
      </w:r>
      <w:r>
        <w:rPr>
          <w:rStyle w:val="VerbatimChar"/>
        </w:rPr>
        <w:t xml:space="preserve">logs.json</w:t>
      </w:r>
      <w:r>
        <w:t xml:space="preserve"> </w:t>
      </w:r>
      <w:r>
        <w:t xml:space="preserve">(365 j) purgés automatiquement, jetons expirés nettoyés — voir</w:t>
      </w:r>
      <w:r>
        <w:t xml:space="preserve"> </w:t>
      </w:r>
      <w:r>
        <w:rPr>
          <w:rStyle w:val="VerbatimChar"/>
        </w:rPr>
        <w:t xml:space="preserve">politique-de-conservation.md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.</w:t>
      </w:r>
    </w:p>
    <w:p>
      <w:pPr>
        <w:pStyle w:val="BlockText"/>
      </w:pPr>
      <w:r>
        <w:t xml:space="preserve">Ces documents sont une base sérieuse et structurée, mais</w:t>
      </w:r>
      <w:r>
        <w:t xml:space="preserve"> </w:t>
      </w:r>
      <w:r>
        <w:rPr>
          <w:b/>
        </w:rPr>
        <w:t xml:space="preserve">ne constituent pas un conseil juridique</w:t>
      </w:r>
      <w:r>
        <w:t xml:space="preserve">. Pour un cabinet d’expertise comptable, une relecture par un avocat/DPO et la cohérence avec la doctrine de l’Ordre des experts-comptables sont recommandées avant publication.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2026-06-22T10:31:48Z</dcterms:created>
  <dcterms:modified xsi:type="dcterms:W3CDTF">2026-06-22T10:31:48Z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