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cgu</w:t>
      </w:r>
    </w:p>
    <w:p>
      <w:pPr>
        <w:pStyle w:val="Heading1"/>
      </w:pPr>
      <w:bookmarkStart w:id="20" w:name="conditions-générales-dutilisation-cgu"/>
      <w:r>
        <w:t xml:space="preserve">Conditions Générales d’Utilisation (CGU)</w:t>
      </w:r>
      <w:bookmarkEnd w:id="20"/>
    </w:p>
    <w:p>
      <w:pPr>
        <w:pStyle w:val="FirstParagraph"/>
      </w:pPr>
      <w:r>
        <w:rPr>
          <w:i/>
        </w:rPr>
        <w:t xml:space="preserve">Dernière mise à jour : 2026-06-22.</w:t>
      </w:r>
    </w:p>
    <w:p>
      <w:pPr>
        <w:pStyle w:val="BodyText"/>
      </w:pPr>
      <w:r>
        <w:t xml:space="preserve">Les présentes CGU régissent l’utilisation de l’application</w:t>
      </w:r>
      <w:r>
        <w:t xml:space="preserve"> </w:t>
      </w:r>
      <w:r>
        <w:rPr>
          <w:b/>
        </w:rPr>
        <w:t xml:space="preserve">app.fingec.fr</w:t>
      </w:r>
      <w:r>
        <w:t xml:space="preserve"> </w:t>
      </w:r>
      <w:r>
        <w:t xml:space="preserve">(l’« Application »), éditée par</w:t>
      </w:r>
      <w:r>
        <w:t xml:space="preserve"> </w:t>
      </w:r>
      <w:r>
        <w:rPr>
          <w:b/>
        </w:rPr>
        <w:t xml:space="preserve">Fingec</w:t>
      </w:r>
      <w:r>
        <w:t xml:space="preserve"> </w:t>
      </w:r>
      <w:r>
        <w:t xml:space="preserve">(l’« Éditeur »). L’accès à l’Application vaut acceptation des présentes.</w:t>
      </w:r>
    </w:p>
    <w:p>
      <w:pPr>
        <w:pStyle w:val="Heading2"/>
      </w:pPr>
      <w:bookmarkStart w:id="21" w:name="objet"/>
      <w:r>
        <w:t xml:space="preserve">1. Objet</w:t>
      </w:r>
      <w:bookmarkEnd w:id="21"/>
    </w:p>
    <w:p>
      <w:pPr>
        <w:pStyle w:val="FirstParagraph"/>
      </w:pPr>
      <w:r>
        <w:t xml:space="preserve">L’Application est un espace de travail interne au cabinet Fingec destiné à : (i) l’automatisation de la préparation d’écritures comptables à partir de fichiers e-commerce (TikTok/Shopify), et (ii) la gestion et la relance des clients du cabinet.</w:t>
      </w:r>
    </w:p>
    <w:p>
      <w:pPr>
        <w:pStyle w:val="Heading2"/>
      </w:pPr>
      <w:bookmarkStart w:id="22" w:name="accès-et-comptes"/>
      <w:r>
        <w:t xml:space="preserve">2. Accès et comptes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L’accès est</w:t>
      </w:r>
      <w:r>
        <w:t xml:space="preserve"> </w:t>
      </w:r>
      <w:r>
        <w:rPr>
          <w:b/>
        </w:rPr>
        <w:t xml:space="preserve">réservé</w:t>
      </w:r>
      <w:r>
        <w:t xml:space="preserve"> </w:t>
      </w:r>
      <w:r>
        <w:t xml:space="preserve">aux collaborateurs et administrateurs habilités du cabinet. Il n’y a pas d’inscription libre : les comptes sont créés par un administrateur, qui envoie une invitation par e-mail.</w:t>
      </w:r>
    </w:p>
    <w:p>
      <w:pPr>
        <w:numPr>
          <w:ilvl w:val="0"/>
          <w:numId w:val="1001"/>
        </w:numPr>
        <w:pStyle w:val="Compact"/>
      </w:pPr>
      <w:r>
        <w:t xml:space="preserve">L’utilisateur est responsable de la</w:t>
      </w:r>
      <w:r>
        <w:t xml:space="preserve"> </w:t>
      </w:r>
      <w:r>
        <w:rPr>
          <w:b/>
        </w:rPr>
        <w:t xml:space="preserve">confidentialité de ses identifiants</w:t>
      </w:r>
      <w:r>
        <w:t xml:space="preserve"> </w:t>
      </w:r>
      <w:r>
        <w:t xml:space="preserve">et de toute action réalisée depuis son compte. Tout usage suspect doit être signalé sans délai à un administrateur.</w:t>
      </w:r>
    </w:p>
    <w:p>
      <w:pPr>
        <w:numPr>
          <w:ilvl w:val="0"/>
          <w:numId w:val="1001"/>
        </w:numPr>
        <w:pStyle w:val="Compact"/>
      </w:pPr>
      <w:r>
        <w:t xml:space="preserve">Les accès sont cloisonnés par rôle (</w:t>
      </w:r>
      <w:r>
        <w:rPr>
          <w:rStyle w:val="VerbatimChar"/>
        </w:rPr>
        <w:t xml:space="preserve">user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) et par attribution : un comptable n’accède qu’aux clients qui lui sont attribués.</w:t>
      </w:r>
    </w:p>
    <w:p>
      <w:pPr>
        <w:pStyle w:val="Heading2"/>
      </w:pPr>
      <w:bookmarkStart w:id="23" w:name="utilisation-conforme"/>
      <w:r>
        <w:t xml:space="preserve">3. Utilisation conforme</w:t>
      </w:r>
      <w:bookmarkEnd w:id="23"/>
    </w:p>
    <w:p>
      <w:pPr>
        <w:pStyle w:val="FirstParagraph"/>
      </w:pPr>
      <w:r>
        <w:t xml:space="preserve">L’utilisateur s’engage à : utiliser l’Application dans le seul cadre de ses missions ; ne pas tenter de contourner les mesures de sécurité ; ne pas importer de contenu illicite ou de fichiers malveillants ; ne traiter que des données qu’il est autorisé à traiter.</w:t>
      </w:r>
    </w:p>
    <w:p>
      <w:pPr>
        <w:pStyle w:val="Heading2"/>
      </w:pPr>
      <w:bookmarkStart w:id="24" w:name="données-et-confidentialité"/>
      <w:r>
        <w:t xml:space="preserve">4. Données et confidentialité</w:t>
      </w:r>
      <w:bookmarkEnd w:id="24"/>
    </w:p>
    <w:p>
      <w:pPr>
        <w:pStyle w:val="FirstParagraph"/>
      </w:pPr>
      <w:r>
        <w:t xml:space="preserve">Le traitement des données personnelles est décrit dans la</w:t>
      </w:r>
      <w:r>
        <w:t xml:space="preserve"> </w:t>
      </w:r>
      <w:hyperlink r:id="rId25">
        <w:r>
          <w:rPr>
            <w:rStyle w:val="Hyperlink"/>
            <w:b/>
          </w:rPr>
          <w:t xml:space="preserve">Politique de confidentialité</w:t>
        </w:r>
      </w:hyperlink>
      <w:r>
        <w:t xml:space="preserve">. L’utilisateur est tenu au</w:t>
      </w:r>
      <w:r>
        <w:t xml:space="preserve"> </w:t>
      </w:r>
      <w:r>
        <w:rPr>
          <w:b/>
        </w:rPr>
        <w:t xml:space="preserve">secret professionnel</w:t>
      </w:r>
      <w:r>
        <w:t xml:space="preserve"> </w:t>
      </w:r>
      <w:r>
        <w:t xml:space="preserve">et à la confidentialité des données clients auxquelles il accède.</w:t>
      </w:r>
    </w:p>
    <w:p>
      <w:pPr>
        <w:pStyle w:val="Heading2"/>
      </w:pPr>
      <w:bookmarkStart w:id="26" w:name="disponibilité-et-maintenance"/>
      <w:r>
        <w:t xml:space="preserve">5. Disponibilité et maintenance</w:t>
      </w:r>
      <w:bookmarkEnd w:id="26"/>
    </w:p>
    <w:p>
      <w:pPr>
        <w:pStyle w:val="FirstParagraph"/>
      </w:pPr>
      <w:r>
        <w:t xml:space="preserve">L’Éditeur s’efforce d’assurer la disponibilité de l’Application mais ne garantit pas un accès ininterrompu. Des interruptions pour maintenance ou cas de force majeure peuvent survenir.</w:t>
      </w:r>
    </w:p>
    <w:p>
      <w:pPr>
        <w:pStyle w:val="Heading2"/>
      </w:pPr>
      <w:bookmarkStart w:id="27" w:name="propriété-intellectuelle"/>
      <w:r>
        <w:t xml:space="preserve">6. Propriété intellectuelle</w:t>
      </w:r>
      <w:bookmarkEnd w:id="27"/>
    </w:p>
    <w:p>
      <w:pPr>
        <w:pStyle w:val="FirstParagraph"/>
      </w:pPr>
      <w:r>
        <w:t xml:space="preserve">L’Application, son code, sa charte et ses contenus sont la propriété de l’Éditeur. Aucune licence n’est concédée au-delà du droit d’utilisation dans le cadre des missions.</w:t>
      </w:r>
    </w:p>
    <w:p>
      <w:pPr>
        <w:pStyle w:val="Heading2"/>
      </w:pPr>
      <w:bookmarkStart w:id="28" w:name="responsabilité"/>
      <w:r>
        <w:t xml:space="preserve">7. Responsabilité</w:t>
      </w:r>
      <w:bookmarkEnd w:id="28"/>
    </w:p>
    <w:p>
      <w:pPr>
        <w:pStyle w:val="FirstParagraph"/>
      </w:pPr>
      <w:r>
        <w:t xml:space="preserve">L’Application est un outil d’aide à la préparation comptable : les résultats produits (calculs de TVA, détection d’anomalies, score de fiabilité) doivent faire l’objet d’un</w:t>
      </w:r>
      <w:r>
        <w:t xml:space="preserve"> </w:t>
      </w:r>
      <w:r>
        <w:rPr>
          <w:b/>
        </w:rPr>
        <w:t xml:space="preserve">contrôle humain</w:t>
      </w:r>
      <w:r>
        <w:t xml:space="preserve"> </w:t>
      </w:r>
      <w:r>
        <w:t xml:space="preserve">par un professionnel avant tout usage comptable ou fiscal. L’Éditeur ne saurait être tenu responsable d’une exploitation des résultats sans vérification.</w:t>
      </w:r>
    </w:p>
    <w:p>
      <w:pPr>
        <w:pStyle w:val="Heading2"/>
      </w:pPr>
      <w:bookmarkStart w:id="29" w:name="évolution-des-cgu"/>
      <w:r>
        <w:t xml:space="preserve">8. Évolution des CGU</w:t>
      </w:r>
      <w:bookmarkEnd w:id="29"/>
    </w:p>
    <w:p>
      <w:pPr>
        <w:pStyle w:val="FirstParagraph"/>
      </w:pPr>
      <w:r>
        <w:t xml:space="preserve">Les présentes CGU peuvent être modifiées. La version applicable est celle en vigueur à la date d’utilisation.</w:t>
      </w:r>
    </w:p>
    <w:p>
      <w:pPr>
        <w:pStyle w:val="Heading2"/>
      </w:pPr>
      <w:bookmarkStart w:id="30" w:name="droit-applicable"/>
      <w:r>
        <w:t xml:space="preserve">9. Droit applicable</w:t>
      </w:r>
      <w:bookmarkEnd w:id="30"/>
    </w:p>
    <w:p>
      <w:pPr>
        <w:pStyle w:val="FirstParagraph"/>
      </w:pPr>
      <w:r>
        <w:t xml:space="preserve">Droit français. Tout litige relève des tribunaux français compétents.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./politique-de-confidentialite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5" Target="./politique-de-confidentialit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cgu</dc:title>
  <dc:creator/>
  <cp:keywords/>
  <dcterms:created xsi:type="dcterms:W3CDTF">2026-06-22T10:31:47Z</dcterms:created>
  <dcterms:modified xsi:type="dcterms:W3CDTF">2026-06-22T10:31:47Z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