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dpa-modele-sous-traitance</w:t>
      </w:r>
    </w:p>
    <w:p>
      <w:pPr>
        <w:pStyle w:val="Heading1"/>
      </w:pPr>
      <w:bookmarkStart w:id="20" w:name="Xc43ce80c5dfe682fc608e3535cec386af238293"/>
      <w:r>
        <w:t xml:space="preserve">Modèle d’accord de traitement des données (clause de sous-traitance)</w:t>
      </w:r>
      <w:bookmarkEnd w:id="20"/>
    </w:p>
    <w:p>
      <w:pPr>
        <w:pStyle w:val="FirstParagraph"/>
      </w:pPr>
      <w:r>
        <w:rPr>
          <w:i/>
        </w:rPr>
        <w:t xml:space="preserve">Modèle contractuel — article 28 du RGPD. Dernière mise à jour : 2026-06-22.</w:t>
      </w:r>
    </w:p>
    <w:p>
      <w:pPr>
        <w:pStyle w:val="BlockText"/>
      </w:pPr>
      <w:r>
        <w:rPr>
          <w:b/>
        </w:rPr>
        <w:t xml:space="preserve">Qualification retenue : Fingec est responsable de traitement autonome.</w:t>
      </w:r>
      <w:r>
        <w:t xml:space="preserve"> </w:t>
      </w:r>
      <w:r>
        <w:t xml:space="preserve">Ce modèle n’est donc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utilisé par défaut vis-à-vis des clients. Il est conservé uniquement pour le</w:t>
      </w:r>
      <w:r>
        <w:t xml:space="preserve"> </w:t>
      </w:r>
      <w:r>
        <w:rPr>
          <w:b/>
        </w:rPr>
        <w:t xml:space="preserve">cas résiduel</w:t>
      </w:r>
      <w:r>
        <w:t xml:space="preserve"> </w:t>
      </w:r>
      <w:r>
        <w:t xml:space="preserve">où un client exigerait une prestation strictement exécutée sur ses instructions (Fingec deviendrait alors sous-traitant pour cette prestation précise). Dans le fonctionnement normal, Fingec doit surtout disposer des DPA de</w:t>
      </w:r>
      <w:r>
        <w:t xml:space="preserve"> </w:t>
      </w:r>
      <w:r>
        <w:rPr>
          <w:b/>
        </w:rPr>
        <w:t xml:space="preserve">ses propres</w:t>
      </w:r>
      <w:r>
        <w:t xml:space="preserve"> </w:t>
      </w:r>
      <w:r>
        <w:t xml:space="preserve">sous-traitants (Google, Hostinger — voir</w:t>
      </w:r>
      <w:r>
        <w:t xml:space="preserve"> </w:t>
      </w:r>
      <w:r>
        <w:rPr>
          <w:rStyle w:val="VerbatimChar"/>
        </w:rPr>
        <w:t xml:space="preserve">sous-traitants.md</w:t>
      </w:r>
      <w:r>
        <w:t xml:space="preserve">).</w:t>
      </w:r>
    </w:p>
    <w:p>
      <w:pPr>
        <w:pStyle w:val="FirstParagraph"/>
      </w:pPr>
      <w:r>
        <w:t xml:space="preserve">À annexer à la lettre de mission. À adapter par un professionnel du droit avant signature.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989308c04982e9d0d352813ce92e206a2b43bf"/>
      <w:r>
        <w:t xml:space="preserve">Accord relatif au traitement des données à caractère personnel</w:t>
      </w:r>
      <w:bookmarkEnd w:id="21"/>
    </w:p>
    <w:p>
      <w:pPr>
        <w:pStyle w:val="FirstParagraph"/>
      </w:pPr>
      <w:r>
        <w:rPr>
          <w:b/>
        </w:rPr>
        <w:t xml:space="preserve">Entre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[Le Client]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(à renseigner au cas par cas : raison sociale, SIRET et adresse du client signataire)</w:t>
      </w:r>
      <w:r>
        <w:t xml:space="preserve">, responsable de traitement,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et Fingec</w:t>
      </w:r>
      <w:r>
        <w:t xml:space="preserve">, EURL au capital de 1 000 €, SIRET 808 015 994 00037, dont le siège est 6 rue Frédéric Chopin, 67118 Geispolsheim, représentée par son gérant Ohouo N’Katta, sous-traitant.</w:t>
      </w:r>
    </w:p>
    <w:p>
      <w:pPr>
        <w:pStyle w:val="Heading3"/>
      </w:pPr>
      <w:bookmarkStart w:id="22" w:name="objet"/>
      <w:r>
        <w:t xml:space="preserve">1. Objet</w:t>
      </w:r>
      <w:bookmarkEnd w:id="22"/>
    </w:p>
    <w:p>
      <w:pPr>
        <w:pStyle w:val="FirstParagraph"/>
      </w:pPr>
      <w:r>
        <w:t xml:space="preserve">Le présent accord encadre les traitements de données personnelles réalisés par Fingec pour le compte du Client dans le cadre de la mission [à préciser].</w:t>
      </w:r>
    </w:p>
    <w:p>
      <w:pPr>
        <w:pStyle w:val="Heading3"/>
      </w:pPr>
      <w:bookmarkStart w:id="23" w:name="description-du-traitement"/>
      <w:r>
        <w:t xml:space="preserve">2. Description du traitement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Nature et finalité</w:t>
      </w:r>
      <w:r>
        <w:t xml:space="preserve"> </w:t>
      </w:r>
      <w:r>
        <w:t xml:space="preserve">: [tenue comptable, relances, automatisation des écritures…].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Catégories de données</w:t>
      </w:r>
      <w:r>
        <w:t xml:space="preserve"> </w:t>
      </w:r>
      <w:r>
        <w:t xml:space="preserve">: [identité, e-mail, données comptables…].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Catégories de personnes</w:t>
      </w:r>
      <w:r>
        <w:t xml:space="preserve"> </w:t>
      </w:r>
      <w:r>
        <w:t xml:space="preserve">: [contacts du client, salariés…].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Durée</w:t>
      </w:r>
      <w:r>
        <w:t xml:space="preserve"> </w:t>
      </w:r>
      <w:r>
        <w:t xml:space="preserve">: durée de la mission.</w:t>
      </w:r>
    </w:p>
    <w:p>
      <w:pPr>
        <w:pStyle w:val="Heading3"/>
      </w:pPr>
      <w:bookmarkStart w:id="24" w:name="obligations-de-fingec-sous-traitant"/>
      <w:r>
        <w:t xml:space="preserve">3. Obligations de Fingec (sous-traitant)</w:t>
      </w:r>
      <w:bookmarkEnd w:id="24"/>
    </w:p>
    <w:p>
      <w:pPr>
        <w:pStyle w:val="FirstParagraph"/>
      </w:pPr>
      <w:r>
        <w:t xml:space="preserve">Fingec s’engage à :</w:t>
      </w:r>
      <w:r>
        <w:t xml:space="preserve"> </w:t>
      </w:r>
      <w:r>
        <w:t xml:space="preserve">1. Ne traiter les données que sur</w:t>
      </w:r>
      <w:r>
        <w:t xml:space="preserve"> </w:t>
      </w:r>
      <w:r>
        <w:rPr>
          <w:b/>
        </w:rPr>
        <w:t xml:space="preserve">instruction documentée</w:t>
      </w:r>
      <w:r>
        <w:t xml:space="preserve"> </w:t>
      </w:r>
      <w:r>
        <w:t xml:space="preserve">du Client.</w:t>
      </w:r>
      <w:r>
        <w:t xml:space="preserve"> </w:t>
      </w:r>
      <w:r>
        <w:t xml:space="preserve">2. Garantir la</w:t>
      </w:r>
      <w:r>
        <w:t xml:space="preserve"> </w:t>
      </w:r>
      <w:r>
        <w:rPr>
          <w:b/>
        </w:rPr>
        <w:t xml:space="preserve">confidentialité</w:t>
      </w:r>
      <w:r>
        <w:t xml:space="preserve"> </w:t>
      </w:r>
      <w:r>
        <w:t xml:space="preserve">(personnes autorisées soumises à une obligation de confidentialité / secret professionnel).</w:t>
      </w:r>
      <w:r>
        <w:t xml:space="preserve"> </w:t>
      </w:r>
      <w:r>
        <w:t xml:space="preserve">3. Mettre en œuvre les</w:t>
      </w:r>
      <w:r>
        <w:t xml:space="preserve"> </w:t>
      </w:r>
      <w:r>
        <w:rPr>
          <w:b/>
        </w:rPr>
        <w:t xml:space="preserve">mesures de sécurité</w:t>
      </w:r>
      <w:r>
        <w:t xml:space="preserve"> </w:t>
      </w:r>
      <w:r>
        <w:t xml:space="preserve">appropriées (chiffrement TLS, bcrypt, contrôle d’accès par rôle, proxy authentifié — voir politique de confidentialité).</w:t>
      </w:r>
      <w:r>
        <w:t xml:space="preserve"> </w:t>
      </w:r>
      <w:r>
        <w:t xml:space="preserve">4. Ne recourir à un</w:t>
      </w:r>
      <w:r>
        <w:t xml:space="preserve"> </w:t>
      </w:r>
      <w:r>
        <w:rPr>
          <w:b/>
        </w:rPr>
        <w:t xml:space="preserve">sous-traitant ultérieur</w:t>
      </w:r>
      <w:r>
        <w:t xml:space="preserve"> </w:t>
      </w:r>
      <w:r>
        <w:t xml:space="preserve">(Google, Hostinger) qu’avec autorisation et en lui imposant les mêmes obligations.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Aider le Client</w:t>
      </w:r>
      <w:r>
        <w:t xml:space="preserve"> </w:t>
      </w:r>
      <w:r>
        <w:t xml:space="preserve">à répondre aux demandes d’exercice de droits et à ses obligations (sécurité, notification de violation, AIPD).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Notifier</w:t>
      </w:r>
      <w:r>
        <w:t xml:space="preserve"> </w:t>
      </w:r>
      <w:r>
        <w:t xml:space="preserve">toute violation de données dans les meilleurs délais.</w:t>
      </w:r>
      <w:r>
        <w:t xml:space="preserve"> </w:t>
      </w:r>
      <w:r>
        <w:t xml:space="preserve">7. Au terme de la mission,</w:t>
      </w:r>
      <w:r>
        <w:t xml:space="preserve"> </w:t>
      </w:r>
      <w:r>
        <w:rPr>
          <w:b/>
        </w:rPr>
        <w:t xml:space="preserve">supprimer ou restituer</w:t>
      </w:r>
      <w:r>
        <w:t xml:space="preserve"> </w:t>
      </w:r>
      <w:r>
        <w:t xml:space="preserve">les données, et détruire les copies.</w:t>
      </w:r>
      <w:r>
        <w:t xml:space="preserve"> </w:t>
      </w:r>
      <w:r>
        <w:t xml:space="preserve">8. Tenir le présent</w:t>
      </w:r>
      <w:r>
        <w:t xml:space="preserve"> </w:t>
      </w:r>
      <w:r>
        <w:rPr>
          <w:b/>
        </w:rPr>
        <w:t xml:space="preserve">registre</w:t>
      </w:r>
      <w:r>
        <w:t xml:space="preserve"> </w:t>
      </w:r>
      <w:r>
        <w:t xml:space="preserve">à disposition et permettre les</w:t>
      </w:r>
      <w:r>
        <w:t xml:space="preserve"> </w:t>
      </w:r>
      <w:r>
        <w:rPr>
          <w:b/>
        </w:rPr>
        <w:t xml:space="preserve">audits</w:t>
      </w:r>
      <w:r>
        <w:t xml:space="preserve">.</w:t>
      </w:r>
    </w:p>
    <w:p>
      <w:pPr>
        <w:pStyle w:val="Heading3"/>
      </w:pPr>
      <w:bookmarkStart w:id="25" w:name="sous-traitants-ultérieurs-autorisés"/>
      <w:r>
        <w:t xml:space="preserve">4. Sous-traitants ultérieurs autorisés</w:t>
      </w:r>
      <w:bookmarkEnd w:id="25"/>
    </w:p>
    <w:p>
      <w:pPr>
        <w:pStyle w:val="FirstParagraph"/>
      </w:pPr>
      <w:r>
        <w:t xml:space="preserve">[Liste : Google (Workspace/Sheets/Gmail), Hostinger (hébergement) — voir</w:t>
      </w:r>
      <w:r>
        <w:t xml:space="preserve"> </w:t>
      </w:r>
      <w:r>
        <w:rPr>
          <w:rStyle w:val="VerbatimChar"/>
        </w:rPr>
        <w:t xml:space="preserve">sous-traitants.md</w:t>
      </w:r>
      <w:r>
        <w:t xml:space="preserve">.]</w:t>
      </w:r>
    </w:p>
    <w:p>
      <w:pPr>
        <w:pStyle w:val="Heading3"/>
      </w:pPr>
      <w:bookmarkStart w:id="26" w:name="sort-des-données-en-fin-de-contrat"/>
      <w:r>
        <w:t xml:space="preserve">5. Sort des données en fin de contrat</w:t>
      </w:r>
      <w:bookmarkEnd w:id="26"/>
    </w:p>
    <w:p>
      <w:pPr>
        <w:pStyle w:val="FirstParagraph"/>
      </w:pPr>
      <w:r>
        <w:t xml:space="preserve">☐ Restitution puis suppression — ☐ Suppression — selon le choix du Client.</w:t>
      </w:r>
    </w:p>
    <w:p>
      <w:pPr>
        <w:pStyle w:val="Heading3"/>
      </w:pPr>
      <w:bookmarkStart w:id="27" w:name="X4ff6200b6608667a48c393f76ad52278c05c3f7"/>
      <w:r>
        <w:t xml:space="preserve">6. Obligations du Client (responsable de traitement)</w:t>
      </w:r>
      <w:bookmarkEnd w:id="27"/>
    </w:p>
    <w:p>
      <w:pPr>
        <w:pStyle w:val="FirstParagraph"/>
      </w:pPr>
      <w:r>
        <w:t xml:space="preserve">Fournir des instructions licites, garantir une base légale, et informer les personnes concernées.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Annexes : description détaillée des mesures de sécurité ; liste à jour des sous-traitants ultérieurs.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dpa-modele-sous-traitance</dc:title>
  <dc:creator/>
  <cp:keywords/>
  <dcterms:created xsi:type="dcterms:W3CDTF">2026-06-22T10:31:47Z</dcterms:created>
  <dcterms:modified xsi:type="dcterms:W3CDTF">2026-06-22T10:31:47Z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