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evaluation-aipd</w:t>
      </w:r>
    </w:p>
    <w:p>
      <w:pPr>
        <w:pStyle w:val="Heading1"/>
      </w:pPr>
      <w:bookmarkStart w:id="20" w:name="X422bcebe2ca23987b22cd1790e28748550a4777"/>
      <w:r>
        <w:t xml:space="preserve">Évaluation de la nécessité d’une AIPD (analyse d’impact)</w:t>
      </w:r>
      <w:bookmarkEnd w:id="20"/>
    </w:p>
    <w:p>
      <w:pPr>
        <w:pStyle w:val="FirstParagraph"/>
      </w:pPr>
      <w:r>
        <w:rPr>
          <w:i/>
        </w:rPr>
        <w:t xml:space="preserve">Document interne — article 35 du RGPD. Dernière mise à jour : 2026-06-22.</w:t>
      </w:r>
    </w:p>
    <w:p>
      <w:pPr>
        <w:pStyle w:val="BodyText"/>
      </w:pPr>
      <w:r>
        <w:t xml:space="preserve">Une</w:t>
      </w:r>
      <w:r>
        <w:t xml:space="preserve"> </w:t>
      </w:r>
      <w:r>
        <w:rPr>
          <w:b/>
        </w:rPr>
        <w:t xml:space="preserve">AIPD (Analyse d’Impact relative à la Protection des Données / DPIA)</w:t>
      </w:r>
      <w:r>
        <w:t xml:space="preserve"> </w:t>
      </w:r>
      <w:r>
        <w:t xml:space="preserve">est obligatoire lorsqu’un traitement est</w:t>
      </w:r>
      <w:r>
        <w:t xml:space="preserve"> </w:t>
      </w:r>
      <w:r>
        <w:rPr>
          <w:b/>
        </w:rPr>
        <w:t xml:space="preserve">susceptible d’engendrer un risque élevé</w:t>
      </w:r>
      <w:r>
        <w:t xml:space="preserve"> </w:t>
      </w:r>
      <w:r>
        <w:t xml:space="preserve">pour les droits et libertés des personnes. Ce document trace l’évaluation de cette nécessité (la trace de la décision fait partie de l’accountability, même quand l’AIPD n’est pas requise).</w:t>
      </w:r>
    </w:p>
    <w:p>
      <w:pPr>
        <w:pStyle w:val="Heading2"/>
      </w:pPr>
      <w:bookmarkStart w:id="21" w:name="X429cfb00e3672d49567ae0bef27947201d61640"/>
      <w:r>
        <w:t xml:space="preserve">Critères de risque élevé (lignes directrices CEPD — un traitement combinant ≥ 2 critères justifie en général une AIPD)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Concerné 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Évaluation / scoring de personnes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Le « score de fiabilité » porte sur la</w:t>
            </w:r>
            <w:r>
              <w:t xml:space="preserve"> </w:t>
            </w:r>
            <w:r>
              <w:rPr>
                <w:b/>
              </w:rPr>
              <w:t xml:space="preserve">qualité des fichiers</w:t>
            </w:r>
            <w:r>
              <w:t xml:space="preserve">, pas sur des personnes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Décision automatisée à effet juridique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Aucune décision automatisée sur des personnes (contrôle humain)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Surveillance systématique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Données sensibles ou hautement personnelles</w:t>
            </w:r>
          </w:p>
        </w:tc>
        <w:tc>
          <w:p>
            <w:pPr>
              <w:pStyle w:val="Compact"/>
              <w:jc w:val="left"/>
            </w:pPr>
            <w:r>
              <w:t xml:space="preserve">⚠️ À nuancer</w:t>
            </w:r>
          </w:p>
        </w:tc>
        <w:tc>
          <w:p>
            <w:pPr>
              <w:pStyle w:val="Compact"/>
              <w:jc w:val="left"/>
            </w:pPr>
            <w:r>
              <w:t xml:space="preserve">Données financières de clients = sensibilité économique, mais pas « catégories particulières » au sens de l’art.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Données à grande échelle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Quelques dizaines d’utilisateurs, périmètre cabinet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Croisement de jeux de données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Personnes vulnérables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Contacts professionnels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 innovant / nouvelle technologie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Pas d’IA décisionnelle en production aujourd’hui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Blocage d’un droit / d’un contrat</w:t>
            </w:r>
          </w:p>
        </w:tc>
        <w:tc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22" w:name="conclusion-au-2026-06-22"/>
      <w:r>
        <w:t xml:space="preserve">Conclusion (au 2026-06-22)</w:t>
      </w:r>
      <w:bookmarkEnd w:id="22"/>
    </w:p>
    <w:p>
      <w:pPr>
        <w:pStyle w:val="FirstParagraph"/>
      </w:pPr>
      <w:r>
        <w:t xml:space="preserve">Au regard des critères, le périmètre actuel</w:t>
      </w:r>
      <w:r>
        <w:t xml:space="preserve"> </w:t>
      </w:r>
      <w:r>
        <w:rPr>
          <w:b/>
        </w:rPr>
        <w:t xml:space="preserve">ne franchit pas</w:t>
      </w:r>
      <w:r>
        <w:t xml:space="preserve"> </w:t>
      </w:r>
      <w:r>
        <w:t xml:space="preserve">le seuil rendant une AIPD obligatoire (0–1 critère réellement coché).</w:t>
      </w:r>
      <w:r>
        <w:t xml:space="preserve"> </w:t>
      </w:r>
      <w:r>
        <w:rPr>
          <w:b/>
        </w:rPr>
        <w:t xml:space="preserve">Une AIPD n’est donc pas requise à ce stade.</w:t>
      </w:r>
    </w:p>
    <w:p>
      <w:pPr>
        <w:pStyle w:val="Heading2"/>
      </w:pPr>
      <w:bookmarkStart w:id="23" w:name="à-réévaluer-si"/>
      <w:r>
        <w:t xml:space="preserve">À réévaluer si…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Ajout d’une</w:t>
      </w:r>
      <w:r>
        <w:t xml:space="preserve"> </w:t>
      </w:r>
      <w:r>
        <w:rPr>
          <w:b/>
        </w:rPr>
        <w:t xml:space="preserve">IA décisionnelle</w:t>
      </w:r>
      <w:r>
        <w:t xml:space="preserve"> </w:t>
      </w:r>
      <w:r>
        <w:t xml:space="preserve">(ex. détection automatique du pays, catégorisation automatique d’écritures, intégration Dext avec décisions) → réévaluer immédiatement.</w:t>
      </w:r>
    </w:p>
    <w:p>
      <w:pPr>
        <w:numPr>
          <w:ilvl w:val="0"/>
          <w:numId w:val="1001"/>
        </w:numPr>
        <w:pStyle w:val="Compact"/>
      </w:pPr>
      <w:r>
        <w:t xml:space="preserve">Passage à une</w:t>
      </w:r>
      <w:r>
        <w:t xml:space="preserve"> </w:t>
      </w:r>
      <w:r>
        <w:rPr>
          <w:b/>
        </w:rPr>
        <w:t xml:space="preserve">grande échelle</w:t>
      </w:r>
      <w:r>
        <w:t xml:space="preserve"> </w:t>
      </w:r>
      <w:r>
        <w:t xml:space="preserve">(nombreux cabinets/clients, mutualisation SaaS multi-tenants).</w:t>
      </w:r>
    </w:p>
    <w:p>
      <w:pPr>
        <w:numPr>
          <w:ilvl w:val="0"/>
          <w:numId w:val="1001"/>
        </w:numPr>
        <w:pStyle w:val="Compact"/>
      </w:pPr>
      <w:r>
        <w:t xml:space="preserve">Traitement de</w:t>
      </w:r>
      <w:r>
        <w:t xml:space="preserve"> </w:t>
      </w:r>
      <w:r>
        <w:rPr>
          <w:b/>
        </w:rPr>
        <w:t xml:space="preserve">nouvelles catégories</w:t>
      </w:r>
      <w:r>
        <w:t xml:space="preserve"> </w:t>
      </w:r>
      <w:r>
        <w:t xml:space="preserve">de données plus sensibles.</w:t>
      </w:r>
    </w:p>
    <w:p>
      <w:pPr>
        <w:pStyle w:val="BlockText"/>
      </w:pPr>
      <w:r>
        <w:t xml:space="preserve">Conserver cette page à jour : toute évolution majeure de l’application doit déclencher une relecture de cette évaluation.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evaluation-aipd</dc:title>
  <dc:creator/>
  <cp:keywords/>
  <dcterms:created xsi:type="dcterms:W3CDTF">2026-06-22T10:31:47Z</dcterms:created>
  <dcterms:modified xsi:type="dcterms:W3CDTF">2026-06-22T10:31:47Z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