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politique-de-confidentialite</w:t>
      </w:r>
    </w:p>
    <w:p>
      <w:pPr>
        <w:pStyle w:val="Heading1"/>
      </w:pPr>
      <w:bookmarkStart w:id="20" w:name="politique-de-confidentialité"/>
      <w:r>
        <w:t xml:space="preserve">Politique de confidentialité</w:t>
      </w:r>
      <w:bookmarkEnd w:id="20"/>
    </w:p>
    <w:p>
      <w:pPr>
        <w:pStyle w:val="FirstParagraph"/>
      </w:pPr>
      <w:r>
        <w:rPr>
          <w:i/>
        </w:rPr>
        <w:t xml:space="preserve">Dernière mise à jour : 2026-06-22</w:t>
      </w:r>
    </w:p>
    <w:p>
      <w:pPr>
        <w:pStyle w:val="BodyText"/>
      </w:pPr>
      <w:r>
        <w:t xml:space="preserve">La présente politique décrit la manière dont</w:t>
      </w:r>
      <w:r>
        <w:t xml:space="preserve"> </w:t>
      </w:r>
      <w:r>
        <w:rPr>
          <w:b/>
        </w:rPr>
        <w:t xml:space="preserve">Fingec</w:t>
      </w:r>
      <w:r>
        <w:t xml:space="preserve"> </w:t>
      </w:r>
      <w:r>
        <w:t xml:space="preserve">(« nous ») collecte et traite les données à caractère personnel dans le cadre de l’application</w:t>
      </w:r>
      <w:r>
        <w:t xml:space="preserve"> </w:t>
      </w:r>
      <w:r>
        <w:rPr>
          <w:b/>
        </w:rPr>
        <w:t xml:space="preserve">app.fingec.fr</w:t>
      </w:r>
      <w:r>
        <w:t xml:space="preserve">, conformément au Règlement (UE) 2016/679 (RGPD) et à la loi n° 78-17 du 6 janvier 1978 modifiée (« Informatique et Libertés »).</w:t>
      </w:r>
    </w:p>
    <w:p>
      <w:pPr>
        <w:pStyle w:val="Heading2"/>
      </w:pPr>
      <w:bookmarkStart w:id="21" w:name="responsable-du-traitement"/>
      <w:r>
        <w:t xml:space="preserve">1. Responsable du traitement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Fingec</w:t>
      </w:r>
      <w:r>
        <w:t xml:space="preserve">, EURL au capital de 1 000 €, SIRET 808 015 994 00037, dont le siège est 6 rue Frédéric Chopin, 67118 Geispolsheim, représentée par son gérant Ohouo N’Katta. Tél. : +33 (0)9 83 00 08 43.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Contact RGPD</w:t>
      </w:r>
      <w:r>
        <w:t xml:space="preserve"> </w:t>
      </w:r>
      <w:r>
        <w:t xml:space="preserve">: expert@fingec.fr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Délégué à la protection des données (DPO)</w:t>
      </w:r>
      <w:r>
        <w:t xml:space="preserve"> </w:t>
      </w:r>
      <w:r>
        <w:t xml:space="preserve">: non désigné. La désignation d’un DPO n’est pas obligatoire au regard de l’activité et de la taille de la structure (pas de suivi régulier et systématique à grande échelle, pas de traitement de données sensibles à grande échelle).</w:t>
      </w:r>
    </w:p>
    <w:p>
      <w:pPr>
        <w:pStyle w:val="BlockText"/>
      </w:pPr>
      <w:r>
        <w:rPr>
          <w:b/>
        </w:rPr>
        <w:t xml:space="preserve">Qualification.</w:t>
      </w:r>
      <w:r>
        <w:t xml:space="preserve"> </w:t>
      </w:r>
      <w:r>
        <w:t xml:space="preserve">Fingec agit en</w:t>
      </w:r>
      <w:r>
        <w:t xml:space="preserve"> </w:t>
      </w:r>
      <w:r>
        <w:rPr>
          <w:b/>
        </w:rPr>
        <w:t xml:space="preserve">responsable de traitement autonome</w:t>
      </w:r>
      <w:r>
        <w:t xml:space="preserve">, tant pour les données de ses</w:t>
      </w:r>
      <w:r>
        <w:t xml:space="preserve"> </w:t>
      </w:r>
      <w:r>
        <w:rPr>
          <w:b/>
        </w:rPr>
        <w:t xml:space="preserve">utilisateurs</w:t>
      </w:r>
      <w:r>
        <w:t xml:space="preserve"> </w:t>
      </w:r>
      <w:r>
        <w:t xml:space="preserve">(collaborateurs) que pour celles des</w:t>
      </w:r>
      <w:r>
        <w:t xml:space="preserve"> </w:t>
      </w:r>
      <w:r>
        <w:rPr>
          <w:b/>
        </w:rPr>
        <w:t xml:space="preserve">clients du cabinet</w:t>
      </w:r>
      <w:r>
        <w:t xml:space="preserve"> </w:t>
      </w:r>
      <w:r>
        <w:t xml:space="preserve">traitées dans le cadre de sa mission comptable : Fingec en détermine les finalités et les moyens et est soumis à ses propres obligations légales (voir</w:t>
      </w:r>
      <w:r>
        <w:t xml:space="preserve"> </w:t>
      </w:r>
      <w:r>
        <w:rPr>
          <w:rStyle w:val="VerbatimChar"/>
        </w:rPr>
        <w:t xml:space="preserve">registre-des-traitements.md</w:t>
      </w:r>
      <w:r>
        <w:t xml:space="preserve">).</w:t>
      </w:r>
    </w:p>
    <w:p>
      <w:pPr>
        <w:pStyle w:val="Heading2"/>
      </w:pPr>
      <w:bookmarkStart w:id="22" w:name="Xece77ca936a0483c666a80c8e94f0c85509e8b1"/>
      <w:r>
        <w:t xml:space="preserve">2. Données collectées, finalités et bases légales</w:t>
      </w:r>
      <w:bookmarkEnd w:id="22"/>
    </w:p>
    <w:p>
      <w:pPr>
        <w:pStyle w:val="Heading3"/>
      </w:pPr>
      <w:bookmarkStart w:id="23" w:name="X485ffd482df454ad93201341b51f3ef18c2e07b"/>
      <w:r>
        <w:t xml:space="preserve">2.1 Comptes des utilisateurs de l’espace (comptables, administrateurs)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Données</w:t>
      </w:r>
      <w:r>
        <w:t xml:space="preserve"> </w:t>
      </w:r>
      <w:r>
        <w:t xml:space="preserve">: adresse e-mail, nom complet, mot de passe (stocké uniquement sous forme de</w:t>
      </w:r>
      <w:r>
        <w:t xml:space="preserve"> </w:t>
      </w:r>
      <w:r>
        <w:rPr>
          <w:b/>
        </w:rPr>
        <w:t xml:space="preserve">hash bcrypt</w:t>
      </w:r>
      <w:r>
        <w:t xml:space="preserve">), rôle (</w:t>
      </w:r>
      <w:r>
        <w:rPr>
          <w:rStyle w:val="VerbatimChar"/>
        </w:rPr>
        <w:t xml:space="preserve">user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), statut du compte, date de création, jetons de réinitialisation (stockés uniquement en</w:t>
      </w:r>
      <w:r>
        <w:t xml:space="preserve"> </w:t>
      </w:r>
      <w:r>
        <w:rPr>
          <w:b/>
        </w:rPr>
        <w:t xml:space="preserve">SHA-256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Finalité</w:t>
      </w:r>
      <w:r>
        <w:t xml:space="preserve"> </w:t>
      </w:r>
      <w:r>
        <w:t xml:space="preserve">: création et gestion des accès à l’espace de travail, authentification, sécurité.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Base légale</w:t>
      </w:r>
      <w:r>
        <w:t xml:space="preserve"> </w:t>
      </w:r>
      <w:r>
        <w:t xml:space="preserve">: exécution du contrat de travail/de prestation et</w:t>
      </w:r>
      <w:r>
        <w:t xml:space="preserve"> </w:t>
      </w:r>
      <w:r>
        <w:rPr>
          <w:b/>
        </w:rPr>
        <w:t xml:space="preserve">intérêt légitime</w:t>
      </w:r>
      <w:r>
        <w:t xml:space="preserve"> </w:t>
      </w:r>
      <w:r>
        <w:t xml:space="preserve">de l’éditeur à sécuriser l’accès à son outil.</w:t>
      </w:r>
    </w:p>
    <w:p>
      <w:pPr>
        <w:pStyle w:val="Heading3"/>
      </w:pPr>
      <w:bookmarkStart w:id="24" w:name="X51067441cb10c3e5c5071b78fb3f4d8ea83c087"/>
      <w:r>
        <w:t xml:space="preserve">2.2 Gestion des clients du cabinet et relances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Données</w:t>
      </w:r>
      <w:r>
        <w:t xml:space="preserve"> </w:t>
      </w:r>
      <w:r>
        <w:t xml:space="preserve">: nom et adresse e-mail du contact client, statut de collecte des pièces, dates d’envoi, nombre et date des relances, historique des envois.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Finalité</w:t>
      </w:r>
      <w:r>
        <w:t xml:space="preserve"> </w:t>
      </w:r>
      <w:r>
        <w:t xml:space="preserve">: suivi de la collecte des pièces comptables et envoi des relances par e-mail dans le cadre de la mission comptable.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Base légale</w:t>
      </w:r>
      <w:r>
        <w:t xml:space="preserve"> </w:t>
      </w:r>
      <w:r>
        <w:t xml:space="preserve">: exécution de la mission comptable et/ou</w:t>
      </w:r>
      <w:r>
        <w:t xml:space="preserve"> </w:t>
      </w:r>
      <w:r>
        <w:rPr>
          <w:b/>
        </w:rPr>
        <w:t xml:space="preserve">intérêt légitime</w:t>
      </w:r>
      <w:r>
        <w:t xml:space="preserve"> </w:t>
      </w:r>
      <w:r>
        <w:t xml:space="preserve">à assurer le suivi des dossiers ; respect d’</w:t>
      </w:r>
      <w:r>
        <w:rPr>
          <w:b/>
        </w:rPr>
        <w:t xml:space="preserve">obligations légales</w:t>
      </w:r>
      <w:r>
        <w:t xml:space="preserve"> </w:t>
      </w:r>
      <w:r>
        <w:t xml:space="preserve">comptables et fiscales.</w:t>
      </w:r>
    </w:p>
    <w:p>
      <w:pPr>
        <w:pStyle w:val="Heading3"/>
      </w:pPr>
      <w:bookmarkStart w:id="25" w:name="Xcff2a72722eaacae83c21477e8e870b68333729"/>
      <w:r>
        <w:t xml:space="preserve">2.3 Traitement des fichiers comptables (TikTok / Shopify → Quadra)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Données</w:t>
      </w:r>
      <w:r>
        <w:t xml:space="preserve"> </w:t>
      </w:r>
      <w:r>
        <w:t xml:space="preserve">: fichiers de relevés de transactions e-commerce (dates, montants, TVA, frais). Les fichiers importés sont</w:t>
      </w:r>
      <w:r>
        <w:t xml:space="preserve"> </w:t>
      </w:r>
      <w:r>
        <w:rPr>
          <w:b/>
        </w:rPr>
        <w:t xml:space="preserve">supprimés immédiatement après traitement</w:t>
      </w:r>
      <w:r>
        <w:t xml:space="preserve"> </w:t>
      </w:r>
      <w:r>
        <w:t xml:space="preserve">; seuls des</w:t>
      </w:r>
      <w:r>
        <w:t xml:space="preserve"> </w:t>
      </w:r>
      <w:r>
        <w:rPr>
          <w:b/>
        </w:rPr>
        <w:t xml:space="preserve">fichiers de sortie agrégés</w:t>
      </w:r>
      <w:r>
        <w:t xml:space="preserve"> </w:t>
      </w:r>
      <w:r>
        <w:t xml:space="preserve">(</w:t>
      </w:r>
      <w:r>
        <w:rPr>
          <w:rStyle w:val="VerbatimChar"/>
        </w:rPr>
        <w:t xml:space="preserve">.xlsx</w:t>
      </w:r>
      <w:r>
        <w:t xml:space="preserve">) et des</w:t>
      </w:r>
      <w:r>
        <w:t xml:space="preserve"> </w:t>
      </w:r>
      <w:r>
        <w:rPr>
          <w:b/>
        </w:rPr>
        <w:t xml:space="preserve">métadonnées techniques</w:t>
      </w:r>
      <w:r>
        <w:t xml:space="preserve"> </w:t>
      </w:r>
      <w:r>
        <w:t xml:space="preserve">(nom de fichier, score de fiabilité, nombre de lignes) sont conservés.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Finalité</w:t>
      </w:r>
      <w:r>
        <w:t xml:space="preserve"> </w:t>
      </w:r>
      <w:r>
        <w:t xml:space="preserve">: production d’écritures comptables prêtes à importer.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Base légale</w:t>
      </w:r>
      <w:r>
        <w:t xml:space="preserve"> </w:t>
      </w:r>
      <w:r>
        <w:t xml:space="preserve">: exécution de la mission comptable /</w:t>
      </w:r>
      <w:r>
        <w:t xml:space="preserve"> </w:t>
      </w:r>
      <w:r>
        <w:rPr>
          <w:b/>
        </w:rPr>
        <w:t xml:space="preserve">obligation légale</w:t>
      </w:r>
      <w:r>
        <w:t xml:space="preserve">.</w:t>
      </w:r>
    </w:p>
    <w:p>
      <w:pPr>
        <w:pStyle w:val="Heading2"/>
      </w:pPr>
      <w:bookmarkStart w:id="26" w:name="destinataires-et-sous-traitants"/>
      <w:r>
        <w:t xml:space="preserve">3. Destinataires et sous-traitants</w:t>
      </w:r>
      <w:bookmarkEnd w:id="26"/>
    </w:p>
    <w:p>
      <w:pPr>
        <w:pStyle w:val="FirstParagraph"/>
      </w:pPr>
      <w:r>
        <w:t xml:space="preserve">Les données sont accessibles aux</w:t>
      </w:r>
      <w:r>
        <w:t xml:space="preserve"> </w:t>
      </w:r>
      <w:r>
        <w:rPr>
          <w:b/>
        </w:rPr>
        <w:t xml:space="preserve">collaborateurs habilités</w:t>
      </w:r>
      <w:r>
        <w:t xml:space="preserve"> </w:t>
      </w:r>
      <w:r>
        <w:t xml:space="preserve">de Fingec, selon le principe du moindre privilège (un comptable n’accède qu’aux clients qui lui sont attribués).</w:t>
      </w:r>
    </w:p>
    <w:p>
      <w:pPr>
        <w:pStyle w:val="BodyText"/>
      </w:pPr>
      <w:r>
        <w:t xml:space="preserve">Nous faisons appel aux</w:t>
      </w:r>
      <w:r>
        <w:t xml:space="preserve"> </w:t>
      </w:r>
      <w:r>
        <w:rPr>
          <w:b/>
        </w:rPr>
        <w:t xml:space="preserve">sous-traitants</w:t>
      </w:r>
      <w:r>
        <w:t xml:space="preserve"> </w:t>
      </w:r>
      <w:r>
        <w:t xml:space="preserve">suivants (détail et garanties dans</w:t>
      </w:r>
      <w:r>
        <w:t xml:space="preserve"> </w:t>
      </w:r>
      <w:r>
        <w:rPr>
          <w:rStyle w:val="VerbatimChar"/>
        </w:rPr>
        <w:t xml:space="preserve">sous-traitants.md</w:t>
      </w:r>
      <w:r>
        <w:t xml:space="preserve">) 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Sous-traitant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Donnée concernée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Localisation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Hostinger</w:t>
            </w:r>
          </w:p>
        </w:tc>
        <w:tc>
          <w:p>
            <w:pPr>
              <w:pStyle w:val="Compact"/>
              <w:jc w:val="left"/>
            </w:pPr>
            <w:r>
              <w:t xml:space="preserve">Hébergement du serveur (VPS)</w:t>
            </w:r>
          </w:p>
        </w:tc>
        <w:tc>
          <w:p>
            <w:pPr>
              <w:pStyle w:val="Compact"/>
              <w:jc w:val="left"/>
            </w:pPr>
            <w:r>
              <w:t xml:space="preserve">Comptes, attributions, fichiers de sortie</w:t>
            </w:r>
          </w:p>
        </w:tc>
        <w:tc>
          <w:p>
            <w:pPr>
              <w:pStyle w:val="Compact"/>
              <w:jc w:val="left"/>
            </w:pPr>
            <w:r>
              <w:t xml:space="preserve">Paris, France (UE)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Google (Google Workspace / Sheets / Gmail)</w:t>
            </w:r>
          </w:p>
        </w:tc>
        <w:tc>
          <w:p>
            <w:pPr>
              <w:pStyle w:val="Compact"/>
              <w:jc w:val="left"/>
            </w:pPr>
            <w:r>
              <w:t xml:space="preserve">Stockage des données clients (Sheets) et envoi des e-mails (Gmail)</w:t>
            </w:r>
          </w:p>
        </w:tc>
        <w:tc>
          <w:p>
            <w:pPr>
              <w:pStyle w:val="Compact"/>
              <w:jc w:val="left"/>
            </w:pPr>
            <w:r>
              <w:t xml:space="preserve">Nom, e-mail, historique des relances</w:t>
            </w:r>
          </w:p>
        </w:tc>
        <w:tc>
          <w:p>
            <w:pPr>
              <w:pStyle w:val="Compact"/>
              <w:jc w:val="left"/>
            </w:pPr>
            <w:r>
              <w:t xml:space="preserve">UE + transferts hors UE encadrés</w:t>
            </w:r>
          </w:p>
        </w:tc>
      </w:tr>
    </w:tbl>
    <w:p>
      <w:pPr>
        <w:pStyle w:val="BodyText"/>
      </w:pPr>
      <w:r>
        <w:t xml:space="preserve">Le composant d’automatisation</w:t>
      </w:r>
      <w:r>
        <w:t xml:space="preserve"> </w:t>
      </w:r>
      <w:r>
        <w:rPr>
          <w:b/>
        </w:rPr>
        <w:t xml:space="preserve">n8n</w:t>
      </w:r>
      <w:r>
        <w:t xml:space="preserve"> </w:t>
      </w:r>
      <w:r>
        <w:t xml:space="preserve">est</w:t>
      </w:r>
      <w:r>
        <w:t xml:space="preserve"> </w:t>
      </w:r>
      <w:r>
        <w:rPr>
          <w:b/>
        </w:rPr>
        <w:t xml:space="preserve">auto-hébergé</w:t>
      </w:r>
      <w:r>
        <w:t xml:space="preserve"> </w:t>
      </w:r>
      <w:r>
        <w:t xml:space="preserve">sur notre propre serveur et ne constitue pas un sous-traitant tiers.</w:t>
      </w:r>
    </w:p>
    <w:p>
      <w:pPr>
        <w:pStyle w:val="BodyText"/>
      </w:pPr>
      <w:r>
        <w:t xml:space="preserve">Nous ne</w:t>
      </w:r>
      <w:r>
        <w:t xml:space="preserve"> </w:t>
      </w:r>
      <w:r>
        <w:rPr>
          <w:b/>
        </w:rPr>
        <w:t xml:space="preserve">vendons ni ne louons</w:t>
      </w:r>
      <w:r>
        <w:t xml:space="preserve"> </w:t>
      </w:r>
      <w:r>
        <w:t xml:space="preserve">vos données. Aucune donnée n’est utilisée à des fins de profilage publicitaire.</w:t>
      </w:r>
    </w:p>
    <w:p>
      <w:pPr>
        <w:pStyle w:val="Heading2"/>
      </w:pPr>
      <w:bookmarkStart w:id="27" w:name="transferts-hors-union-européenne"/>
      <w:r>
        <w:t xml:space="preserve">4. Transferts hors Union européenne</w:t>
      </w:r>
      <w:bookmarkEnd w:id="27"/>
    </w:p>
    <w:p>
      <w:pPr>
        <w:pStyle w:val="FirstParagraph"/>
      </w:pPr>
      <w:r>
        <w:t xml:space="preserve">Le recours à Google peut impliquer des transferts de données vers des pays tiers (notamment les États-Unis). Ces transferts sont encadrés par les</w:t>
      </w:r>
      <w:r>
        <w:t xml:space="preserve"> </w:t>
      </w:r>
      <w:r>
        <w:rPr>
          <w:b/>
        </w:rPr>
        <w:t xml:space="preserve">clauses contractuelles types</w:t>
      </w:r>
      <w:r>
        <w:t xml:space="preserve"> </w:t>
      </w:r>
      <w:r>
        <w:t xml:space="preserve">de la Commission européenne et l’adhésion du prestataire au</w:t>
      </w:r>
      <w:r>
        <w:t xml:space="preserve"> </w:t>
      </w:r>
      <w:r>
        <w:rPr>
          <w:b/>
        </w:rPr>
        <w:t xml:space="preserve">Data Privacy Framework</w:t>
      </w:r>
      <w:r>
        <w:t xml:space="preserve"> </w:t>
      </w:r>
      <w:r>
        <w:t xml:space="preserve">UE-États-Unis. [À VÉRIFIER selon la configuration Google Workspace retenue.]</w:t>
      </w:r>
    </w:p>
    <w:p>
      <w:pPr>
        <w:pStyle w:val="Heading2"/>
      </w:pPr>
      <w:bookmarkStart w:id="28" w:name="durées-de-conservation"/>
      <w:r>
        <w:t xml:space="preserve">5. Durées de conservation</w:t>
      </w:r>
      <w:bookmarkEnd w:id="28"/>
    </w:p>
    <w:p>
      <w:pPr>
        <w:pStyle w:val="FirstParagraph"/>
      </w:pPr>
      <w:r>
        <w:t xml:space="preserve">Les durées sont détaillées dans</w:t>
      </w:r>
      <w:r>
        <w:t xml:space="preserve"> </w:t>
      </w:r>
      <w:r>
        <w:rPr>
          <w:rStyle w:val="VerbatimChar"/>
        </w:rPr>
        <w:t xml:space="preserve">politique-de-conservation.md</w:t>
      </w:r>
      <w:r>
        <w:t xml:space="preserve">. En synthèse 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Comptes utilisateurs</w:t>
      </w:r>
      <w:r>
        <w:t xml:space="preserve"> </w:t>
      </w:r>
      <w:r>
        <w:t xml:space="preserve">: pendant la durée de la relation, puis suppression/anonymisation après désactivation.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Données clients et historique des relances</w:t>
      </w:r>
      <w:r>
        <w:t xml:space="preserve"> </w:t>
      </w:r>
      <w:r>
        <w:t xml:space="preserve">: pendant la durée de la mission, puis archivage conformément aux obligations comptables.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Fichiers importés</w:t>
      </w:r>
      <w:r>
        <w:t xml:space="preserve"> </w:t>
      </w:r>
      <w:r>
        <w:t xml:space="preserve">: supprimés immédiatement après traitement.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Fichiers de sortie</w:t>
      </w:r>
      <w:r>
        <w:t xml:space="preserve"> </w:t>
      </w:r>
      <w:r>
        <w:t xml:space="preserve">: purgés automatiquement au-delà de 90 jours.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Journaux techniques</w:t>
      </w:r>
      <w:r>
        <w:t xml:space="preserve"> </w:t>
      </w:r>
      <w:r>
        <w:t xml:space="preserve">: purgés automatiquement au-delà de 365 jours.</w:t>
      </w:r>
    </w:p>
    <w:p>
      <w:pPr>
        <w:pStyle w:val="Heading2"/>
      </w:pPr>
      <w:bookmarkStart w:id="29" w:name="sécurité"/>
      <w:r>
        <w:t xml:space="preserve">6. Sécurité</w:t>
      </w:r>
      <w:bookmarkEnd w:id="29"/>
    </w:p>
    <w:p>
      <w:pPr>
        <w:pStyle w:val="FirstParagraph"/>
      </w:pPr>
      <w:r>
        <w:t xml:space="preserve">Nous mettons en œuvre des mesures techniques et organisationnelles adaptées : chiffrement des échanges (HTTPS/TLS), hachage</w:t>
      </w:r>
      <w:r>
        <w:t xml:space="preserve"> </w:t>
      </w:r>
      <w:r>
        <w:rPr>
          <w:b/>
        </w:rPr>
        <w:t xml:space="preserve">bcrypt</w:t>
      </w:r>
      <w:r>
        <w:t xml:space="preserve"> </w:t>
      </w:r>
      <w:r>
        <w:t xml:space="preserve">des mots de passe, jetons d’accès</w:t>
      </w:r>
      <w:r>
        <w:t xml:space="preserve"> </w:t>
      </w:r>
      <w:r>
        <w:rPr>
          <w:b/>
        </w:rPr>
        <w:t xml:space="preserve">JWT</w:t>
      </w:r>
      <w:r>
        <w:t xml:space="preserve"> </w:t>
      </w:r>
      <w:r>
        <w:t xml:space="preserve">à durée limitée, jetons de réinitialisation à usage unique et expirants, accès à l’automatisation (n8n)</w:t>
      </w:r>
      <w:r>
        <w:t xml:space="preserve"> </w:t>
      </w:r>
      <w:r>
        <w:rPr>
          <w:b/>
        </w:rPr>
        <w:t xml:space="preserve">uniquement</w:t>
      </w:r>
      <w:r>
        <w:t xml:space="preserve"> </w:t>
      </w:r>
      <w:r>
        <w:t xml:space="preserve">via un proxy authentifié, et cloisonnement des accès par rôle et par attribution client.</w:t>
      </w:r>
    </w:p>
    <w:p>
      <w:pPr>
        <w:pStyle w:val="Heading2"/>
      </w:pPr>
      <w:bookmarkStart w:id="30" w:name="vos-droits"/>
      <w:r>
        <w:t xml:space="preserve">7. Vos droits</w:t>
      </w:r>
      <w:bookmarkEnd w:id="30"/>
    </w:p>
    <w:p>
      <w:pPr>
        <w:pStyle w:val="FirstParagraph"/>
      </w:pPr>
      <w:r>
        <w:t xml:space="preserve">Vous disposez des droits d’</w:t>
      </w:r>
      <w:r>
        <w:rPr>
          <w:b/>
        </w:rPr>
        <w:t xml:space="preserve">accès</w:t>
      </w:r>
      <w:r>
        <w:t xml:space="preserve">, de</w:t>
      </w:r>
      <w:r>
        <w:t xml:space="preserve"> </w:t>
      </w:r>
      <w:r>
        <w:rPr>
          <w:b/>
        </w:rPr>
        <w:t xml:space="preserve">rectification</w:t>
      </w:r>
      <w:r>
        <w:t xml:space="preserve">, d’</w:t>
      </w:r>
      <w:r>
        <w:rPr>
          <w:b/>
        </w:rPr>
        <w:t xml:space="preserve">effacement</w:t>
      </w:r>
      <w:r>
        <w:t xml:space="preserve">, de</w:t>
      </w:r>
      <w:r>
        <w:t xml:space="preserve"> </w:t>
      </w:r>
      <w:r>
        <w:rPr>
          <w:b/>
        </w:rPr>
        <w:t xml:space="preserve">limitation</w:t>
      </w:r>
      <w:r>
        <w:t xml:space="preserve">, d’</w:t>
      </w:r>
      <w:r>
        <w:rPr>
          <w:b/>
        </w:rPr>
        <w:t xml:space="preserve">opposition</w:t>
      </w:r>
      <w:r>
        <w:t xml:space="preserve"> </w:t>
      </w:r>
      <w:r>
        <w:t xml:space="preserve">et de</w:t>
      </w:r>
      <w:r>
        <w:t xml:space="preserve"> </w:t>
      </w:r>
      <w:r>
        <w:rPr>
          <w:b/>
        </w:rPr>
        <w:t xml:space="preserve">portabilité</w:t>
      </w:r>
      <w:r>
        <w:t xml:space="preserve">, ainsi que du droit de définir des directives relatives au sort de vos données après votre décès.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Pour les exercer</w:t>
      </w:r>
      <w:r>
        <w:t xml:space="preserve"> </w:t>
      </w:r>
      <w:r>
        <w:t xml:space="preserve">: écrire à expert@fingec.fr, en justifiant de votre identité si nécessaire. Nous répondons dans un délai d’</w:t>
      </w:r>
      <w:r>
        <w:rPr>
          <w:b/>
        </w:rPr>
        <w:t xml:space="preserve">un mois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Réclamation</w:t>
      </w:r>
      <w:r>
        <w:t xml:space="preserve"> </w:t>
      </w:r>
      <w:r>
        <w:t xml:space="preserve">: vous pouvez introduire une réclamation auprès de la</w:t>
      </w:r>
      <w:r>
        <w:t xml:space="preserve"> </w:t>
      </w:r>
      <w:r>
        <w:rPr>
          <w:b/>
        </w:rPr>
        <w:t xml:space="preserve">CNIL</w:t>
      </w:r>
      <w:r>
        <w:t xml:space="preserve"> </w:t>
      </w:r>
      <w:r>
        <w:t xml:space="preserve">(3 Place de Fontenoy, TSA 80715, 75334 Paris Cedex 07 — www.cnil.fr).</w:t>
      </w:r>
    </w:p>
    <w:p>
      <w:pPr>
        <w:pStyle w:val="Heading2"/>
      </w:pPr>
      <w:bookmarkStart w:id="31" w:name="cookies-et-traceurs"/>
      <w:r>
        <w:t xml:space="preserve">8. Cookies et traceurs</w:t>
      </w:r>
      <w:bookmarkEnd w:id="31"/>
    </w:p>
    <w:p>
      <w:pPr>
        <w:pStyle w:val="FirstParagraph"/>
      </w:pPr>
      <w:r>
        <w:t xml:space="preserve">L’application utilise uniquement des éléments</w:t>
      </w:r>
      <w:r>
        <w:t xml:space="preserve"> </w:t>
      </w:r>
      <w:r>
        <w:rPr>
          <w:b/>
        </w:rPr>
        <w:t xml:space="preserve">strictement nécessaires</w:t>
      </w:r>
      <w:r>
        <w:t xml:space="preserve"> </w:t>
      </w:r>
      <w:r>
        <w:t xml:space="preserve">à son fonctionnement (par exemple le stockage local du jeton de session pour vous maintenir connecté). Elle</w:t>
      </w:r>
      <w:r>
        <w:t xml:space="preserve"> </w:t>
      </w:r>
      <w:r>
        <w:rPr>
          <w:b/>
        </w:rPr>
        <w:t xml:space="preserve">n’utilise pas</w:t>
      </w:r>
      <w:r>
        <w:t xml:space="preserve"> </w:t>
      </w:r>
      <w:r>
        <w:t xml:space="preserve">de cookies publicitaires, de mesure d’audience tierce ou de traceurs de profilage. Aucun consentement préalable n’est donc requis pour ces éléments essentiels.</w:t>
      </w:r>
    </w:p>
    <w:p>
      <w:pPr>
        <w:pStyle w:val="Heading2"/>
      </w:pPr>
      <w:bookmarkStart w:id="32" w:name="modifications"/>
      <w:r>
        <w:t xml:space="preserve">9. Modifications</w:t>
      </w:r>
      <w:bookmarkEnd w:id="32"/>
    </w:p>
    <w:p>
      <w:pPr>
        <w:pStyle w:val="FirstParagraph"/>
      </w:pPr>
      <w:r>
        <w:t xml:space="preserve">La présente politique peut être mise à jour. La date de dernière mise à jour figure en tête de document.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politique-de-confidentialite</dc:title>
  <dc:creator/>
  <cp:keywords/>
  <dcterms:created xsi:type="dcterms:W3CDTF">2026-06-22T10:31:47Z</dcterms:created>
  <dcterms:modified xsi:type="dcterms:W3CDTF">2026-06-22T10:31:47Z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