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procedure-violation-donnees</w:t>
      </w:r>
    </w:p>
    <w:p>
      <w:pPr>
        <w:pStyle w:val="Heading1"/>
      </w:pPr>
      <w:bookmarkStart w:id="20" w:name="X469eb93f92f5a299f79605f6e4fb3c26f127512"/>
      <w:r>
        <w:t xml:space="preserve">Procédure de gestion des violations de données</w:t>
      </w:r>
      <w:bookmarkEnd w:id="20"/>
    </w:p>
    <w:p>
      <w:pPr>
        <w:pStyle w:val="FirstParagraph"/>
      </w:pPr>
      <w:r>
        <w:rPr>
          <w:i/>
        </w:rPr>
        <w:t xml:space="preserve">Document interne — articles 33 et 34 du RGPD. Dernière mise à jour : 2026-06-22.</w:t>
      </w:r>
    </w:p>
    <w:p>
      <w:pPr>
        <w:pStyle w:val="BodyText"/>
      </w:pPr>
      <w:r>
        <w:t xml:space="preserve">Une</w:t>
      </w:r>
      <w:r>
        <w:t xml:space="preserve"> </w:t>
      </w:r>
      <w:r>
        <w:rPr>
          <w:b/>
        </w:rPr>
        <w:t xml:space="preserve">violation de données</w:t>
      </w:r>
      <w:r>
        <w:t xml:space="preserve"> </w:t>
      </w:r>
      <w:r>
        <w:t xml:space="preserve">est une atteinte à la sécurité entraînant, de manière accidentelle ou illicite, la destruction, la perte, l’altération, la divulgation ou l’accès non autorisé à des données personnelles (ex. : fuite de</w:t>
      </w:r>
      <w:r>
        <w:t xml:space="preserve"> </w:t>
      </w:r>
      <w:r>
        <w:rPr>
          <w:rStyle w:val="VerbatimChar"/>
        </w:rPr>
        <w:t xml:space="preserve">app.db</w:t>
      </w:r>
      <w:r>
        <w:t xml:space="preserve">, accès non autorisé au Google Sheet, e-mail envoyé au mauvais destinataire, compromission du VPS).</w:t>
      </w:r>
    </w:p>
    <w:p>
      <w:pPr>
        <w:pStyle w:val="Heading2"/>
      </w:pPr>
      <w:bookmarkStart w:id="21" w:name="étapes-à-suivre"/>
      <w:r>
        <w:t xml:space="preserve">Étapes à suivre</w:t>
      </w:r>
      <w:bookmarkEnd w:id="21"/>
    </w:p>
    <w:p>
      <w:pPr>
        <w:pStyle w:val="Heading3"/>
      </w:pPr>
      <w:bookmarkStart w:id="22" w:name="détecter-et-qualifier-immédiat"/>
      <w:r>
        <w:t xml:space="preserve">1. Détecter et qualifier (immédiat)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Identifier la nature de l’incident, les données et personnes concernées, la cause.</w:t>
      </w:r>
    </w:p>
    <w:p>
      <w:pPr>
        <w:numPr>
          <w:ilvl w:val="0"/>
          <w:numId w:val="1001"/>
        </w:numPr>
        <w:pStyle w:val="Compact"/>
      </w:pPr>
      <w:r>
        <w:t xml:space="preserve">Évaluer le</w:t>
      </w:r>
      <w:r>
        <w:t xml:space="preserve"> </w:t>
      </w:r>
      <w:r>
        <w:rPr>
          <w:b/>
        </w:rPr>
        <w:t xml:space="preserve">risque</w:t>
      </w:r>
      <w:r>
        <w:t xml:space="preserve"> </w:t>
      </w:r>
      <w:r>
        <w:t xml:space="preserve">pour les personnes (faible / élevé).</w:t>
      </w:r>
    </w:p>
    <w:p>
      <w:pPr>
        <w:pStyle w:val="Heading3"/>
      </w:pPr>
      <w:bookmarkStart w:id="23" w:name="contenir-et-corriger-immédiat"/>
      <w:r>
        <w:t xml:space="preserve">2. Contenir et corriger (immédiat)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Stopper la fuite (révoquer des accès/identifiants, isoler le serveur, invalider les jetons/sessions, faire pivoter</w:t>
      </w:r>
      <w:r>
        <w:t xml:space="preserve"> </w:t>
      </w:r>
      <w:r>
        <w:rPr>
          <w:rStyle w:val="VerbatimChar"/>
        </w:rPr>
        <w:t xml:space="preserve">AUTH_SECRET</w:t>
      </w:r>
      <w:r>
        <w:t xml:space="preserve">, révoquer les credentials Google).</w:t>
      </w:r>
    </w:p>
    <w:p>
      <w:pPr>
        <w:numPr>
          <w:ilvl w:val="0"/>
          <w:numId w:val="1002"/>
        </w:numPr>
        <w:pStyle w:val="Compact"/>
      </w:pPr>
      <w:r>
        <w:t xml:space="preserve">Conserver les preuves (journaux) pour l’analyse.</w:t>
      </w:r>
    </w:p>
    <w:p>
      <w:pPr>
        <w:pStyle w:val="Heading3"/>
      </w:pPr>
      <w:bookmarkStart w:id="24" w:name="Xe7ec0c124d4454126015e064ac0ab274bd62f77"/>
      <w:r>
        <w:t xml:space="preserve">3. Notifier la CNIL —</w:t>
      </w:r>
      <w:r>
        <w:t xml:space="preserve"> </w:t>
      </w:r>
      <w:r>
        <w:rPr>
          <w:b/>
        </w:rPr>
        <w:t xml:space="preserve">dans les 72 heures</w:t>
      </w:r>
      <w:r>
        <w:t xml:space="preserve"> </w:t>
      </w:r>
      <w:r>
        <w:t xml:space="preserve">(art. 33)</w:t>
      </w:r>
      <w:bookmarkEnd w:id="24"/>
    </w:p>
    <w:p>
      <w:pPr>
        <w:pStyle w:val="FirstParagraph"/>
      </w:pPr>
      <w:r>
        <w:t xml:space="preserve">Obligatoire</w:t>
      </w:r>
      <w:r>
        <w:t xml:space="preserve"> </w:t>
      </w:r>
      <w:r>
        <w:rPr>
          <w:b/>
        </w:rPr>
        <w:t xml:space="preserve">sauf</w:t>
      </w:r>
      <w:r>
        <w:t xml:space="preserve"> </w:t>
      </w:r>
      <w:r>
        <w:t xml:space="preserve">si la violation est peu susceptible d’engendrer un risque pour les personnes.</w:t>
      </w:r>
      <w:r>
        <w:t xml:space="preserve"> </w:t>
      </w:r>
      <w:r>
        <w:t xml:space="preserve">- Téléservice de notification : https://www.cnil.fr/fr/notifier-une-violation-de-donnees-personnelles</w:t>
      </w:r>
      <w:r>
        <w:t xml:space="preserve"> </w:t>
      </w:r>
      <w:r>
        <w:t xml:space="preserve">- Contenu : nature de la violation, catégories et nombre approximatif de personnes/d’enregistrements, conséquences probables, mesures prises.</w:t>
      </w:r>
    </w:p>
    <w:p>
      <w:pPr>
        <w:pStyle w:val="Heading3"/>
      </w:pPr>
      <w:bookmarkStart w:id="25" w:name="X8c239b4004b22b1bb23a7e3c9a7b2272a749c24"/>
      <w:r>
        <w:t xml:space="preserve">4. Informer les personnes concernées (art. 34)</w:t>
      </w:r>
      <w:bookmarkEnd w:id="25"/>
    </w:p>
    <w:p>
      <w:pPr>
        <w:pStyle w:val="FirstParagraph"/>
      </w:pPr>
      <w:r>
        <w:t xml:space="preserve">Si le risque est</w:t>
      </w:r>
      <w:r>
        <w:t xml:space="preserve"> </w:t>
      </w:r>
      <w:r>
        <w:rPr>
          <w:b/>
        </w:rPr>
        <w:t xml:space="preserve">élevé</w:t>
      </w:r>
      <w:r>
        <w:t xml:space="preserve">, informer les personnes concernées</w:t>
      </w:r>
      <w:r>
        <w:t xml:space="preserve"> </w:t>
      </w:r>
      <w:r>
        <w:rPr>
          <w:b/>
        </w:rPr>
        <w:t xml:space="preserve">sans délai</w:t>
      </w:r>
      <w:r>
        <w:t xml:space="preserve">, en termes clairs : nature de la violation, conséquences probables, mesures prises, point de contact.</w:t>
      </w:r>
    </w:p>
    <w:p>
      <w:pPr>
        <w:pStyle w:val="Heading3"/>
      </w:pPr>
      <w:bookmarkStart w:id="26" w:name="Xbab7ab157b38512d64523f0401232a754338934"/>
      <w:r>
        <w:t xml:space="preserve">5. Documenter —</w:t>
      </w:r>
      <w:r>
        <w:t xml:space="preserve"> </w:t>
      </w:r>
      <w:r>
        <w:rPr>
          <w:b/>
        </w:rPr>
        <w:t xml:space="preserve">toujours</w:t>
      </w:r>
      <w:r>
        <w:t xml:space="preserve"> </w:t>
      </w:r>
      <w:r>
        <w:t xml:space="preserve">(registre des violations)</w:t>
      </w:r>
      <w:bookmarkEnd w:id="26"/>
    </w:p>
    <w:p>
      <w:pPr>
        <w:pStyle w:val="FirstParagraph"/>
      </w:pPr>
      <w:r>
        <w:t xml:space="preserve">Toute violation est consignée ci-dessous,</w:t>
      </w:r>
      <w:r>
        <w:t xml:space="preserve"> </w:t>
      </w:r>
      <w:r>
        <w:rPr>
          <w:b/>
        </w:rPr>
        <w:t xml:space="preserve">même si elle n’est pas notifiée</w:t>
      </w:r>
      <w:r>
        <w:t xml:space="preserve"> </w:t>
      </w:r>
      <w:r>
        <w:t xml:space="preserve">à la CNIL (l’absence de notification doit être justifiée).</w:t>
      </w:r>
    </w:p>
    <w:p>
      <w:pPr>
        <w:pStyle w:val="Heading2"/>
      </w:pPr>
      <w:bookmarkStart w:id="27" w:name="registre-des-violations"/>
      <w:r>
        <w:t xml:space="preserve">Registre des violations</w:t>
      </w:r>
      <w:bookmarkEnd w:id="27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Données / personnes concernées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CNIL notifiée 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Personnes informées 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Mesures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(aucune violation à ce jour)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2"/>
      </w:pPr>
      <w:bookmarkStart w:id="28" w:name="contacts"/>
      <w:r>
        <w:t xml:space="preserve">Contacts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Référent incident (technique)</w:t>
      </w:r>
      <w:r>
        <w:t xml:space="preserve"> </w:t>
      </w:r>
      <w:r>
        <w:t xml:space="preserve">: Johan — développement et exploitation de l’application.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Représentant légal</w:t>
      </w:r>
      <w:r>
        <w:t xml:space="preserve"> </w:t>
      </w:r>
      <w:r>
        <w:t xml:space="preserve">: Ohouo N’Katta, gérant de Fingec.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Contact RGPD</w:t>
      </w:r>
      <w:r>
        <w:t xml:space="preserve"> </w:t>
      </w:r>
      <w:r>
        <w:t xml:space="preserve">: [À COMPLÉTER, ex. rgpd@fingec.fr]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procedure-violation-donnees</dc:title>
  <dc:creator/>
  <cp:keywords/>
  <dcterms:created xsi:type="dcterms:W3CDTF">2026-06-22T10:31:48Z</dcterms:created>
  <dcterms:modified xsi:type="dcterms:W3CDTF">2026-06-22T10:31:48Z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