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registre-des-traitements</w:t>
      </w:r>
    </w:p>
    <w:p>
      <w:pPr>
        <w:pStyle w:val="Heading1"/>
      </w:pPr>
      <w:bookmarkStart w:id="20" w:name="registre-des-activités-de-traitement"/>
      <w:r>
        <w:t xml:space="preserve">Registre des activités de traitement</w:t>
      </w:r>
      <w:bookmarkEnd w:id="20"/>
    </w:p>
    <w:p>
      <w:pPr>
        <w:pStyle w:val="FirstParagraph"/>
      </w:pPr>
      <w:r>
        <w:rPr>
          <w:i/>
        </w:rPr>
        <w:t xml:space="preserve">Document interne — article 30 du RGPD. Dernière mise à jour : 2026-06-22.</w:t>
      </w:r>
    </w:p>
    <w:p>
      <w:pPr>
        <w:pStyle w:val="BodyText"/>
      </w:pPr>
      <w:r>
        <w:t xml:space="preserve">Ce registre recense les traitements de données personnelles mis en œuvre dans le cadre de l’application</w:t>
      </w:r>
      <w:r>
        <w:t xml:space="preserve"> </w:t>
      </w:r>
      <w:r>
        <w:rPr>
          <w:b/>
        </w:rPr>
        <w:t xml:space="preserve">app.fingec.fr</w:t>
      </w:r>
      <w:r>
        <w:t xml:space="preserve">. Il est tenu à jour et présenté à la CNIL sur demande. Il</w:t>
      </w:r>
      <w:r>
        <w:t xml:space="preserve"> </w:t>
      </w:r>
      <w:r>
        <w:rPr>
          <w:b/>
        </w:rPr>
        <w:t xml:space="preserve">ne se dépose pas</w:t>
      </w:r>
      <w:r>
        <w:t xml:space="preserve"> </w:t>
      </w:r>
      <w:r>
        <w:t xml:space="preserve">; il matérialise la responsabilité (« accountability ») de l’éditeur.</w:t>
      </w:r>
    </w:p>
    <w:p>
      <w:pPr>
        <w:pStyle w:val="Heading2"/>
      </w:pPr>
      <w:bookmarkStart w:id="21" w:name="coordonnées"/>
      <w:r>
        <w:t xml:space="preserve">Coordonnées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Responsable de traitement</w:t>
      </w:r>
      <w:r>
        <w:t xml:space="preserve"> </w:t>
      </w:r>
      <w:r>
        <w:t xml:space="preserve">: Fingec (EURL), SIRET 808 015 994 00037, 6 rue Frédéric Chopin, 67118 Geispolsheim — représentée par Ohouo N’Katta (gérant).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Contact</w:t>
      </w:r>
      <w:r>
        <w:t xml:space="preserve"> </w:t>
      </w:r>
      <w:r>
        <w:t xml:space="preserve">: expert@fingec.fr — tél. +33 (0)9 83 00 08 43.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DPO</w:t>
      </w:r>
      <w:r>
        <w:t xml:space="preserve"> </w:t>
      </w:r>
      <w:r>
        <w:t xml:space="preserve">: non désigné (non obligatoire au regard de l’activité et de la taille).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Responsable informatique / référent technique</w:t>
      </w:r>
      <w:r>
        <w:t xml:space="preserve"> </w:t>
      </w:r>
      <w:r>
        <w:t xml:space="preserve">: Johan (développement et exploitation de l’application).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</w:rPr>
        <w:t xml:space="preserve">Qualification retenue (2026-06-22) : responsable de traitement autonome.</w:t>
      </w:r>
      <w:r>
        <w:t xml:space="preserve"> </w:t>
      </w:r>
      <w:r>
        <w:t xml:space="preserve">Conformément à la doctrine de l’Ordre des experts-comptables et de la CNIL, Fingec fixe les finalités et les moyens des traitements liés à sa mission comptable et est soumis à des obligations légales propres ; il agit donc en</w:t>
      </w:r>
      <w:r>
        <w:t xml:space="preserve"> </w:t>
      </w:r>
      <w:r>
        <w:rPr>
          <w:b/>
        </w:rPr>
        <w:t xml:space="preserve">responsable de traitement autonome</w:t>
      </w:r>
      <w:r>
        <w:t xml:space="preserve">. Conséquences : (a) c’est Fingec qui informe les personnes concernées (via la politique de confidentialité) ; (b) aucun accord de sous-traitance n’est imposé à ses clients. Le modèle</w:t>
      </w:r>
      <w:r>
        <w:t xml:space="preserve"> </w:t>
      </w:r>
      <w:r>
        <w:rPr>
          <w:rStyle w:val="VerbatimChar"/>
        </w:rPr>
        <w:t xml:space="preserve">dpa-modele-sous-traitance.md</w:t>
      </w:r>
      <w:r>
        <w:t xml:space="preserve"> </w:t>
      </w:r>
      <w:r>
        <w:t xml:space="preserve">est conservé uniquement pour le cas résiduel où un client exigerait une prestation strictement exécutée sur ses instructions.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c18cf8836b7de778fa84dac3d7446b3cecabcf"/>
      <w:r>
        <w:t xml:space="preserve">Traitement n° 1 — Gestion des comptes utilisateurs (espace SaaS)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Finalité(s)</w:t>
            </w:r>
          </w:p>
        </w:tc>
        <w:tc>
          <w:p>
            <w:pPr>
              <w:pStyle w:val="Compact"/>
              <w:jc w:val="left"/>
            </w:pPr>
            <w:r>
              <w:t xml:space="preserve">Création/gestion des accès, authentification, sécurité de l’espace de travail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légale</w:t>
            </w:r>
          </w:p>
        </w:tc>
        <w:tc>
          <w:p>
            <w:pPr>
              <w:pStyle w:val="Compact"/>
              <w:jc w:val="left"/>
            </w:pPr>
            <w:r>
              <w:t xml:space="preserve">Exécution du contrat (travail/prestation) ; intérêt légitime (sécurité des accès)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Catégories de personnes</w:t>
            </w:r>
          </w:p>
        </w:tc>
        <w:tc>
          <w:p>
            <w:pPr>
              <w:pStyle w:val="Compact"/>
              <w:jc w:val="left"/>
            </w:pPr>
            <w:r>
              <w:t xml:space="preserve">Collaborateurs et administrateurs du cabinet (comptables, alternants, stagiaires)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Catégories de données</w:t>
            </w:r>
          </w:p>
        </w:tc>
        <w:tc>
          <w:p>
            <w:pPr>
              <w:pStyle w:val="Compact"/>
              <w:jc w:val="left"/>
            </w:pPr>
            <w:r>
              <w:t xml:space="preserve">Identité (nom, prénom), e-mail, mot de passe (</w:t>
            </w:r>
            <w:r>
              <w:rPr>
                <w:b/>
              </w:rPr>
              <w:t xml:space="preserve">hash bcrypt</w:t>
            </w:r>
            <w:r>
              <w:t xml:space="preserve">), rôle, statut, date de création, jetons de réinitialisation (</w:t>
            </w:r>
            <w:r>
              <w:rPr>
                <w:b/>
              </w:rPr>
              <w:t xml:space="preserve">SHA-256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Données sensibles</w:t>
            </w:r>
          </w:p>
        </w:tc>
        <w:tc>
          <w:p>
            <w:pPr>
              <w:pStyle w:val="Compact"/>
              <w:jc w:val="left"/>
            </w:pPr>
            <w:r>
              <w:t xml:space="preserve">Aucune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Destinataires</w:t>
            </w:r>
          </w:p>
        </w:tc>
        <w:tc>
          <w:p>
            <w:pPr>
              <w:pStyle w:val="Compact"/>
              <w:jc w:val="left"/>
            </w:pPr>
            <w:r>
              <w:t xml:space="preserve">Administrateurs habilités du cabinet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Sous-traitants</w:t>
            </w:r>
          </w:p>
        </w:tc>
        <w:tc>
          <w:p>
            <w:pPr>
              <w:pStyle w:val="Compact"/>
              <w:jc w:val="left"/>
            </w:pPr>
            <w:r>
              <w:t xml:space="preserve">Hostinger (hébergement) — voir</w:t>
            </w:r>
            <w:r>
              <w:t xml:space="preserve"> </w:t>
            </w:r>
            <w:r>
              <w:rPr>
                <w:rStyle w:val="VerbatimChar"/>
              </w:rPr>
              <w:t xml:space="preserve">sous-traitants.md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Transferts hors UE</w:t>
            </w:r>
          </w:p>
        </w:tc>
        <w:tc>
          <w:p>
            <w:pPr>
              <w:pStyle w:val="Compact"/>
              <w:jc w:val="left"/>
            </w:pPr>
            <w:r>
              <w:t xml:space="preserve">Aucun — hébergement Hostinger à Paris (UE)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Durée de conservation</w:t>
            </w:r>
          </w:p>
        </w:tc>
        <w:tc>
          <w:p>
            <w:pPr>
              <w:pStyle w:val="Compact"/>
              <w:jc w:val="left"/>
            </w:pPr>
            <w:r>
              <w:t xml:space="preserve">Durée de la relation, puis suppression/anonymisation après désactivation du compte — voir</w:t>
            </w:r>
            <w:r>
              <w:t xml:space="preserve"> </w:t>
            </w:r>
            <w:r>
              <w:rPr>
                <w:rStyle w:val="VerbatimChar"/>
              </w:rPr>
              <w:t xml:space="preserve">politique-de-conservation.md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Mesures de sécurité</w:t>
            </w:r>
          </w:p>
        </w:tc>
        <w:tc>
          <w:p>
            <w:pPr>
              <w:pStyle w:val="Compact"/>
              <w:jc w:val="left"/>
            </w:pPr>
            <w:r>
              <w:t xml:space="preserve">HTTPS/TLS, bcrypt, JWT 8 h, jetons usage unique expirants, accès par rôle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Stockage</w:t>
            </w:r>
          </w:p>
        </w:tc>
        <w:tc>
          <w:p>
            <w:pPr>
              <w:pStyle w:val="Compact"/>
              <w:jc w:val="left"/>
            </w:pPr>
            <w:r>
              <w:t xml:space="preserve">Base SQLite</w:t>
            </w:r>
            <w:r>
              <w:t xml:space="preserve"> </w:t>
            </w:r>
            <w:r>
              <w:rPr>
                <w:rStyle w:val="VerbatimChar"/>
              </w:rPr>
              <w:t xml:space="preserve">app.db</w:t>
            </w:r>
            <w:r>
              <w:t xml:space="preserve"> </w:t>
            </w:r>
            <w:r>
              <w:t xml:space="preserve">sur le VPS (</w:t>
            </w:r>
            <w:r>
              <w:rPr>
                <w:rStyle w:val="VerbatimChar"/>
              </w:rPr>
              <w:t xml:space="preserve">backend/auth.py</w:t>
            </w:r>
            <w:r>
              <w:t xml:space="preserve">)</w:t>
            </w:r>
          </w:p>
        </w:tc>
      </w:tr>
    </w:tbl>
    <w:p>
      <w:pPr>
        <w:pStyle w:val="Heading2"/>
      </w:pPr>
      <w:bookmarkStart w:id="23" w:name="X920fcfdd3fd1270ca86eb7486e9a86282362893"/>
      <w:r>
        <w:t xml:space="preserve">Traitement n° 2 — Gestion des clients du cabinet &amp; relances e-mail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Finalité(s)</w:t>
            </w:r>
          </w:p>
        </w:tc>
        <w:tc>
          <w:p>
            <w:pPr>
              <w:pStyle w:val="Compact"/>
              <w:jc w:val="left"/>
            </w:pPr>
            <w:r>
              <w:t xml:space="preserve">Suivi de la collecte des pièces comptables ; relances par e-mail ; historique des envois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légale</w:t>
            </w:r>
          </w:p>
        </w:tc>
        <w:tc>
          <w:p>
            <w:pPr>
              <w:pStyle w:val="Compact"/>
              <w:jc w:val="left"/>
            </w:pPr>
            <w:r>
              <w:t xml:space="preserve">Exécution de la mission comptable ; intérêt légitime ; obligations légales comptables/fiscales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Catégories de personnes</w:t>
            </w:r>
          </w:p>
        </w:tc>
        <w:tc>
          <w:p>
            <w:pPr>
              <w:pStyle w:val="Compact"/>
              <w:jc w:val="left"/>
            </w:pPr>
            <w:r>
              <w:t xml:space="preserve">Clients du cabinet et leurs contacts (dirigeants, interlocuteurs) — y compris contacts professionnels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Catégories de données</w:t>
            </w:r>
          </w:p>
        </w:tc>
        <w:tc>
          <w:p>
            <w:pPr>
              <w:pStyle w:val="Compact"/>
              <w:jc w:val="left"/>
            </w:pPr>
            <w:r>
              <w:t xml:space="preserve">Nom, e-mail, statut de collecte, dates d’envoi, nombre/date de relances, historique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Données sensibles</w:t>
            </w:r>
          </w:p>
        </w:tc>
        <w:tc>
          <w:p>
            <w:pPr>
              <w:pStyle w:val="Compact"/>
              <w:jc w:val="left"/>
            </w:pPr>
            <w:r>
              <w:t xml:space="preserve">Aucune (a priori)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Destinataires</w:t>
            </w:r>
          </w:p>
        </w:tc>
        <w:tc>
          <w:p>
            <w:pPr>
              <w:pStyle w:val="Compact"/>
              <w:jc w:val="left"/>
            </w:pPr>
            <w:r>
              <w:t xml:space="preserve">Comptable attributaire du client ; administrateurs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Sous-traitants</w:t>
            </w:r>
          </w:p>
        </w:tc>
        <w:tc>
          <w:p>
            <w:pPr>
              <w:pStyle w:val="Compact"/>
              <w:jc w:val="left"/>
            </w:pPr>
            <w:r>
              <w:t xml:space="preserve">Google (Sheets : stockage ; Gmail : envoi) — voir</w:t>
            </w:r>
            <w:r>
              <w:t xml:space="preserve"> </w:t>
            </w:r>
            <w:r>
              <w:rPr>
                <w:rStyle w:val="VerbatimChar"/>
              </w:rPr>
              <w:t xml:space="preserve">sous-traitants.md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Transferts hors UE</w:t>
            </w:r>
          </w:p>
        </w:tc>
        <w:tc>
          <w:p>
            <w:pPr>
              <w:pStyle w:val="Compact"/>
              <w:jc w:val="left"/>
            </w:pPr>
            <w:r>
              <w:t xml:space="preserve">Possibles via Google — encadrés (CCT + Data Privacy Framework) [À VÉRIFIER]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Durée de conservation</w:t>
            </w:r>
          </w:p>
        </w:tc>
        <w:tc>
          <w:p>
            <w:pPr>
              <w:pStyle w:val="Compact"/>
              <w:jc w:val="left"/>
            </w:pPr>
            <w:r>
              <w:t xml:space="preserve">Durée de la mission, puis archivage selon obligations comptables — voir</w:t>
            </w:r>
            <w:r>
              <w:t xml:space="preserve"> </w:t>
            </w:r>
            <w:r>
              <w:rPr>
                <w:rStyle w:val="VerbatimChar"/>
              </w:rPr>
              <w:t xml:space="preserve">politique-de-conservation.md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Mesures de sécurité</w:t>
            </w:r>
          </w:p>
        </w:tc>
        <w:tc>
          <w:p>
            <w:pPr>
              <w:pStyle w:val="Compact"/>
              <w:jc w:val="left"/>
            </w:pPr>
            <w:r>
              <w:t xml:space="preserve">Accès via proxy authentifié ; filtrage par attribution ; OAuth Google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Stockage</w:t>
            </w:r>
          </w:p>
        </w:tc>
        <w:tc>
          <w:p>
            <w:pPr>
              <w:pStyle w:val="Compact"/>
              <w:jc w:val="left"/>
            </w:pPr>
            <w:r>
              <w:t xml:space="preserve">Google Sheet</w:t>
            </w:r>
            <w:r>
              <w:t xml:space="preserve"> </w:t>
            </w:r>
            <w:r>
              <w:rPr>
                <w:rStyle w:val="VerbatimChar"/>
              </w:rPr>
              <w:t xml:space="preserve">1x4ngtRTG4VQKsnOv5vnol8QNhFEoeO9j_tPDq6JB3sU</w:t>
            </w:r>
            <w:r>
              <w:t xml:space="preserve"> </w:t>
            </w:r>
            <w:r>
              <w:t xml:space="preserve">(feuilles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Historique</w:t>
            </w:r>
            <w:r>
              <w:t xml:space="preserve">)</w:t>
            </w:r>
          </w:p>
        </w:tc>
      </w:tr>
    </w:tbl>
    <w:p>
      <w:pPr>
        <w:pStyle w:val="Heading2"/>
      </w:pPr>
      <w:bookmarkStart w:id="24" w:name="Xe096ed93915e4b73ec88e689aedd412651ba06b"/>
      <w:r>
        <w:t xml:space="preserve">Traitement n° 3 — Traitement des fichiers comptables (TikTok/Shopify → Quadra)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Finalité(s)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 de relevés e-commerce en écritures comptables importables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légale</w:t>
            </w:r>
          </w:p>
        </w:tc>
        <w:tc>
          <w:p>
            <w:pPr>
              <w:pStyle w:val="Compact"/>
              <w:jc w:val="left"/>
            </w:pPr>
            <w:r>
              <w:t xml:space="preserve">Exécution de la mission comptable ; obligation légale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Catégories de personnes</w:t>
            </w:r>
          </w:p>
        </w:tc>
        <w:tc>
          <w:p>
            <w:pPr>
              <w:pStyle w:val="Compact"/>
              <w:jc w:val="left"/>
            </w:pPr>
            <w:r>
              <w:t xml:space="preserve">Données transactionnelles agrégées ; pas d’identification directe de personnes physiques dans la sortie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Catégories de données</w:t>
            </w:r>
          </w:p>
        </w:tc>
        <w:tc>
          <w:p>
            <w:pPr>
              <w:pStyle w:val="Compact"/>
              <w:jc w:val="left"/>
            </w:pPr>
            <w:r>
              <w:t xml:space="preserve">Dates, montants, TVA, frais (fichier importé) ; agrégats (fichier de sortie) ; métadonnées techniques (nom de fichier, score)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Données sensibles</w:t>
            </w:r>
          </w:p>
        </w:tc>
        <w:tc>
          <w:p>
            <w:pPr>
              <w:pStyle w:val="Compact"/>
              <w:jc w:val="left"/>
            </w:pPr>
            <w:r>
              <w:t xml:space="preserve">Aucune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Destinataires</w:t>
            </w:r>
          </w:p>
        </w:tc>
        <w:tc>
          <w:p>
            <w:pPr>
              <w:pStyle w:val="Compact"/>
              <w:jc w:val="left"/>
            </w:pPr>
            <w:r>
              <w:t xml:space="preserve">Utilisateur ayant lancé le traitement ; administrateurs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Sous-traitants</w:t>
            </w:r>
          </w:p>
        </w:tc>
        <w:tc>
          <w:p>
            <w:pPr>
              <w:pStyle w:val="Compact"/>
              <w:jc w:val="left"/>
            </w:pPr>
            <w:r>
              <w:t xml:space="preserve">Hostinger (hébergement)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Transferts hors UE</w:t>
            </w:r>
          </w:p>
        </w:tc>
        <w:tc>
          <w:p>
            <w:pPr>
              <w:pStyle w:val="Compact"/>
              <w:jc w:val="left"/>
            </w:pPr>
            <w:r>
              <w:t xml:space="preserve">Aucun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Durée de conservation</w:t>
            </w:r>
          </w:p>
        </w:tc>
        <w:tc>
          <w:p>
            <w:pPr>
              <w:pStyle w:val="Compact"/>
              <w:jc w:val="left"/>
            </w:pPr>
            <w:r>
              <w:t xml:space="preserve">Fichier importé :</w:t>
            </w:r>
            <w:r>
              <w:t xml:space="preserve"> </w:t>
            </w:r>
            <w:r>
              <w:rPr>
                <w:b/>
              </w:rPr>
              <w:t xml:space="preserve">supprimé immédiatement après traitement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backend/main.py</w:t>
            </w:r>
            <w:r>
              <w:t xml:space="preserve">). Fichier de sortie + journaux : [À DÉFINIR — purge à mettre en place]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Mesures de sécurité</w:t>
            </w:r>
          </w:p>
        </w:tc>
        <w:tc>
          <w:p>
            <w:pPr>
              <w:pStyle w:val="Compact"/>
              <w:jc w:val="left"/>
            </w:pPr>
            <w:r>
              <w:t xml:space="preserve">Upload borné (50 Mo), noms de fichiers assainis, anti-traversée de chemin, traitement authentifié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output/*.xlsx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logs.json</w:t>
            </w:r>
            <w:r>
              <w:t xml:space="preserve"> </w:t>
            </w:r>
            <w:r>
              <w:t xml:space="preserve">sur le VPS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uivi-des-révisions"/>
      <w:r>
        <w:t xml:space="preserve">Suivi des révisions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Auteur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p>
            <w:pPr>
              <w:pStyle w:val="Compact"/>
              <w:jc w:val="left"/>
            </w:pPr>
            <w:r>
              <w:t xml:space="preserve">Johan (JXPM)</w:t>
            </w:r>
          </w:p>
        </w:tc>
        <w:tc>
          <w:p>
            <w:pPr>
              <w:pStyle w:val="Compact"/>
              <w:jc w:val="left"/>
            </w:pPr>
            <w:r>
              <w:t xml:space="preserve">Création initiale du registre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registre-des-traitements</dc:title>
  <dc:creator/>
  <cp:keywords/>
  <dcterms:created xsi:type="dcterms:W3CDTF">2026-06-22T10:31:48Z</dcterms:created>
  <dcterms:modified xsi:type="dcterms:W3CDTF">2026-06-22T10:31:48Z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