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sous-traitants</w:t>
      </w:r>
    </w:p>
    <w:p>
      <w:pPr>
        <w:pStyle w:val="Heading1"/>
      </w:pPr>
      <w:bookmarkStart w:id="20" w:name="X1f23be6181af1aa4bf5ae3d9459e10dcc5f0ae6"/>
      <w:r>
        <w:t xml:space="preserve">Registre des sous-traitants &amp; accords de traitement (art. 28 RGPD)</w:t>
      </w:r>
      <w:bookmarkEnd w:id="20"/>
    </w:p>
    <w:p>
      <w:pPr>
        <w:pStyle w:val="FirstParagraph"/>
      </w:pPr>
      <w:r>
        <w:rPr>
          <w:i/>
        </w:rPr>
        <w:t xml:space="preserve">Document interne. Dernière mise à jour : 2026-06-22.</w:t>
      </w:r>
    </w:p>
    <w:p>
      <w:pPr>
        <w:pStyle w:val="BodyText"/>
      </w:pPr>
      <w:r>
        <w:t xml:space="preserve">L’article 28 du RGPD impose qu’un</w:t>
      </w:r>
      <w:r>
        <w:t xml:space="preserve"> </w:t>
      </w:r>
      <w:r>
        <w:rPr>
          <w:b/>
        </w:rPr>
        <w:t xml:space="preserve">contrat de sous-traitance (DPA — Data Processing Agreement)</w:t>
      </w:r>
      <w:r>
        <w:t xml:space="preserve"> </w:t>
      </w:r>
      <w:r>
        <w:t xml:space="preserve">encadre chaque sous-traitant traitant des données personnelles pour notre compte. Les grands prestataires fournissent généralement un DPA standard à</w:t>
      </w:r>
      <w:r>
        <w:t xml:space="preserve"> </w:t>
      </w:r>
      <w:r>
        <w:rPr>
          <w:b/>
        </w:rPr>
        <w:t xml:space="preserve">accepter/archiver</w:t>
      </w:r>
      <w:r>
        <w:t xml:space="preserve">. Ce registre suit l’état de ces accords.</w:t>
      </w:r>
    </w:p>
    <w:p>
      <w:pPr>
        <w:pStyle w:val="Heading2"/>
      </w:pPr>
      <w:bookmarkStart w:id="21" w:name="sous-traitants-actifs"/>
      <w:r>
        <w:t xml:space="preserve">Sous-traitants actifs</w:t>
      </w:r>
      <w:bookmarkEnd w:id="21"/>
    </w:p>
    <w:p>
      <w:pPr>
        <w:pStyle w:val="Heading3"/>
      </w:pPr>
      <w:bookmarkStart w:id="22" w:name="X338a6992c802bdd8ebdfd9750f0510416f72e4a"/>
      <w:r>
        <w:t xml:space="preserve">1. Hostinger International Ltd — Hébergement (VPS)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Rôle</w:t>
      </w:r>
      <w:r>
        <w:t xml:space="preserve"> </w:t>
      </w:r>
      <w:r>
        <w:t xml:space="preserve">: hébergement du serveur unique exécutant</w:t>
      </w:r>
      <w:r>
        <w:t xml:space="preserve"> </w:t>
      </w:r>
      <w:r>
        <w:rPr>
          <w:b/>
        </w:rPr>
        <w:t xml:space="preserve">tout</w:t>
      </w:r>
      <w:r>
        <w:t xml:space="preserve"> </w:t>
      </w:r>
      <w:r>
        <w:t xml:space="preserve">(backend, frontend, base SQLite, fichiers de sortie, n8n).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Données traitées</w:t>
      </w:r>
      <w:r>
        <w:t xml:space="preserve"> </w:t>
      </w:r>
      <w:r>
        <w:t xml:space="preserve">: comptes utilisateurs, attributions clients, fichiers de sortie, journaux, données clients en transit via n8n.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Localisation des données</w:t>
      </w:r>
      <w:r>
        <w:t xml:space="preserve"> </w:t>
      </w:r>
      <w:r>
        <w:t xml:space="preserve">:</w:t>
      </w:r>
      <w:r>
        <w:t xml:space="preserve"> </w:t>
      </w:r>
      <w:r>
        <w:rPr>
          <w:b/>
        </w:rPr>
        <w:t xml:space="preserve">Paris, France (Union européenne)</w:t>
      </w:r>
      <w:r>
        <w:t xml:space="preserve"> </w:t>
      </w:r>
      <w:r>
        <w:t xml:space="preserve">✅ — datacenter Hostinger en France. Pas de transfert hors UE pour l’hébergement.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DPA</w:t>
      </w:r>
      <w:r>
        <w:t xml:space="preserve"> </w:t>
      </w:r>
      <w:r>
        <w:t xml:space="preserve">: Addendum de traitement des données (DPA) Hostinger — [À RÉCUPÉRER ET ARCHIVER]. Disponible dans les pages légales Hostinger / sur demande au support.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Statut</w:t>
      </w:r>
      <w:r>
        <w:t xml:space="preserve"> </w:t>
      </w:r>
      <w:r>
        <w:t xml:space="preserve">: ✅ Localisation UE confirmée (Paris) — ⬜ DPA à archiver.</w:t>
      </w:r>
    </w:p>
    <w:p>
      <w:pPr>
        <w:pStyle w:val="Heading3"/>
      </w:pPr>
      <w:bookmarkStart w:id="23" w:name="google-google-workspace-sheets-gmail"/>
      <w:r>
        <w:t xml:space="preserve">2. Google (Google Workspace : Sheets + Gmail)</w:t>
      </w:r>
      <w:bookmarkEnd w:id="23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Rôle</w:t>
      </w:r>
      <w:r>
        <w:t xml:space="preserve"> </w:t>
      </w:r>
      <w:r>
        <w:t xml:space="preserve">: stockage des données clients (Google Sheets) et envoi des e-mails (Gmail), via l’API et des identifiants OAuth.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Données traitées</w:t>
      </w:r>
      <w:r>
        <w:t xml:space="preserve"> </w:t>
      </w:r>
      <w:r>
        <w:t xml:space="preserve">: nom et e-mail des contacts clients, statut, historique des relances ; corps des e-mails.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Entité contractante</w:t>
      </w:r>
      <w:r>
        <w:t xml:space="preserve"> </w:t>
      </w:r>
      <w:r>
        <w:t xml:space="preserve">: Google Ireland Ltd (pour les clients UE) / Google LLC.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Type de compte</w:t>
      </w:r>
      <w:r>
        <w:t xml:space="preserve"> </w:t>
      </w:r>
      <w:r>
        <w:t xml:space="preserve">: ✅</w:t>
      </w:r>
      <w:r>
        <w:t xml:space="preserve"> </w:t>
      </w:r>
      <w:r>
        <w:rPr>
          <w:b/>
        </w:rPr>
        <w:t xml:space="preserve">Google Workspace (professionnel)</w:t>
      </w:r>
      <w:r>
        <w:t xml:space="preserve"> </w:t>
      </w:r>
      <w:r>
        <w:t xml:space="preserve">— bénéficie du « Cloud Data Processing Addendum » de Google (garanties art. 28, contrairement à un compte gratuit).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Localisation / transferts</w:t>
      </w:r>
      <w:r>
        <w:t xml:space="preserve"> </w:t>
      </w:r>
      <w:r>
        <w:t xml:space="preserve">: UE avec transferts possibles hors UE, encadrés par les</w:t>
      </w:r>
      <w:r>
        <w:t xml:space="preserve"> </w:t>
      </w:r>
      <w:r>
        <w:rPr>
          <w:b/>
        </w:rPr>
        <w:t xml:space="preserve">clauses contractuelles types</w:t>
      </w:r>
      <w:r>
        <w:t xml:space="preserve"> </w:t>
      </w:r>
      <w:r>
        <w:t xml:space="preserve">et le</w:t>
      </w:r>
      <w:r>
        <w:t xml:space="preserve"> </w:t>
      </w:r>
      <w:r>
        <w:rPr>
          <w:b/>
        </w:rPr>
        <w:t xml:space="preserve">Data Privacy Framework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DPA</w:t>
      </w:r>
      <w:r>
        <w:t xml:space="preserve"> </w:t>
      </w:r>
      <w:r>
        <w:t xml:space="preserve">: « Cloud Data Processing Addendum » de Google, applicable aux comptes Workspace — [À ARCHIVER : exporter/sauvegarder la version acceptée depuis la console d’administration Google].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Statut</w:t>
      </w:r>
      <w:r>
        <w:t xml:space="preserve"> </w:t>
      </w:r>
      <w:r>
        <w:t xml:space="preserve">: ✅ Compte Workspace confirmé — ⬜ DPA à archiver.</w:t>
      </w:r>
    </w:p>
    <w:p>
      <w:pPr>
        <w:pStyle w:val="Heading2"/>
      </w:pPr>
      <w:bookmarkStart w:id="24" w:name="X13cb87019626a388f4abe1b023fa2605d6c08e3"/>
      <w:r>
        <w:t xml:space="preserve">Composants NON considérés comme sous-traitants tiers</w:t>
      </w:r>
      <w:bookmarkEnd w:id="24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n8n</w:t>
      </w:r>
      <w:r>
        <w:t xml:space="preserve"> </w:t>
      </w:r>
      <w:r>
        <w:t xml:space="preserve">:</w:t>
      </w:r>
      <w:r>
        <w:t xml:space="preserve"> </w:t>
      </w:r>
      <w:r>
        <w:rPr>
          <w:b/>
        </w:rPr>
        <w:t xml:space="preserve">auto-hébergé</w:t>
      </w:r>
      <w:r>
        <w:t xml:space="preserve"> </w:t>
      </w:r>
      <w:r>
        <w:t xml:space="preserve">sur le VPS Fingec → composant interne, pas un tiers. (Si une bascule vers n8n Cloud était envisagée, un DPA deviendrait nécessaire.)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Frontend</w:t>
      </w:r>
      <w:r>
        <w:t xml:space="preserve"> </w:t>
      </w:r>
      <w:r>
        <w:t xml:space="preserve">: servi en statique depuis le</w:t>
      </w:r>
      <w:r>
        <w:t xml:space="preserve"> </w:t>
      </w:r>
      <w:r>
        <w:rPr>
          <w:b/>
        </w:rPr>
        <w:t xml:space="preserve">même VPS Hostinger</w:t>
      </w:r>
      <w:r>
        <w:t xml:space="preserve"> </w:t>
      </w:r>
      <w:r>
        <w:t xml:space="preserve">via Caddy. ✅ Confirmé :</w:t>
      </w:r>
      <w:r>
        <w:t xml:space="preserve"> </w:t>
      </w:r>
      <w:r>
        <w:rPr>
          <w:b/>
        </w:rPr>
        <w:t xml:space="preserve">tout est hébergé sur le VPS Hostinger</w:t>
      </w:r>
      <w:r>
        <w:t xml:space="preserve"> </w:t>
      </w:r>
      <w:r>
        <w:t xml:space="preserve">(backend, frontend, base SQLite, n8n) — pas de plateforme tierce type Vercel en production. Hostinger est donc le</w:t>
      </w:r>
      <w:r>
        <w:t xml:space="preserve"> </w:t>
      </w:r>
      <w:r>
        <w:rPr>
          <w:b/>
        </w:rPr>
        <w:t xml:space="preserve">seul</w:t>
      </w:r>
      <w:r>
        <w:t xml:space="preserve"> </w:t>
      </w:r>
      <w:r>
        <w:t xml:space="preserve">hébergeur (voir n° 1).</w:t>
      </w:r>
    </w:p>
    <w:p>
      <w:pPr>
        <w:pStyle w:val="Heading2"/>
      </w:pPr>
      <w:bookmarkStart w:id="25" w:name="X7a6ffa8bd26d50181860d3aa31e7e8f72acc519"/>
      <w:r>
        <w:t xml:space="preserve">Checklist par sous-traitant (à vérifier pour chacun)</w:t>
      </w:r>
      <w:bookmarkEnd w:id="25"/>
    </w:p>
    <w:p>
      <w:pPr>
        <w:numPr>
          <w:ilvl w:val="0"/>
          <w:numId w:val="1004"/>
        </w:numPr>
        <w:pStyle w:val="Compact"/>
      </w:pPr>
      <w:r>
        <w:t xml:space="preserve">☐ DPA signé / accepté et</w:t>
      </w:r>
      <w:r>
        <w:t xml:space="preserve"> </w:t>
      </w:r>
      <w:r>
        <w:rPr>
          <w:b/>
        </w:rPr>
        <w:t xml:space="preserve">archivé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☐ Garanties de sécurité documentées.</w:t>
      </w:r>
    </w:p>
    <w:p>
      <w:pPr>
        <w:numPr>
          <w:ilvl w:val="0"/>
          <w:numId w:val="1004"/>
        </w:numPr>
        <w:pStyle w:val="Compact"/>
      </w:pPr>
      <w:r>
        <w:t xml:space="preserve">☐ Localisation des données connue ; transferts hors UE encadrés.</w:t>
      </w:r>
    </w:p>
    <w:p>
      <w:pPr>
        <w:numPr>
          <w:ilvl w:val="0"/>
          <w:numId w:val="1004"/>
        </w:numPr>
        <w:pStyle w:val="Compact"/>
      </w:pPr>
      <w:r>
        <w:t xml:space="preserve">☐ Liste de ses propres sous-traitants ultérieurs connue.</w:t>
      </w:r>
    </w:p>
    <w:p>
      <w:pPr>
        <w:numPr>
          <w:ilvl w:val="0"/>
          <w:numId w:val="1004"/>
        </w:numPr>
        <w:pStyle w:val="Compact"/>
      </w:pPr>
      <w:r>
        <w:t xml:space="preserve">☐ Procédure de notification de violation prévue au contrat.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sous-traitants</dc:title>
  <dc:creator/>
  <cp:keywords/>
  <dcterms:created xsi:type="dcterms:W3CDTF">2026-06-22T10:31:48Z</dcterms:created>
  <dcterms:modified xsi:type="dcterms:W3CDTF">2026-06-22T10:31:48Z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