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Neural Network Design for Robotic Harvesting</w:t>
      </w:r>
    </w:p>
    <w:p>
      <w:pPr>
        <w:pStyle w:val="Subtitle"/>
      </w:pPr>
      <w:r>
        <w:t>ME5418   Group 18   Code Implementation Report</w:t>
      </w:r>
    </w:p>
    <w:p>
      <w:pPr>
        <w:jc w:val="left"/>
      </w:pPr>
      <w:r>
        <w:t>We built a two-dimensional harvesting environment and a Deep Q Network (DQN) demo. Using transitions collected from the simulator, the demo runs forward and backward passes and updates the network parameters. It then executes an action chosen by the updated network. This report describes the code and the checks completed so far. Full policy training and comparative evaluation are still to be done.</w:t>
      </w:r>
    </w:p>
    <w:p>
      <w:pPr>
        <w:pStyle w:val="Heading1"/>
      </w:pPr>
      <w:r>
        <w:t>1 Code Explanation</w:t>
      </w:r>
    </w:p>
    <w:p>
      <w:pPr>
        <w:jc w:val="left"/>
      </w:pPr>
      <w:r>
        <w:t>Our circular end effector moves towards a fruit among flexible branches. There are eight actions: the four cardinal directions, each with a small or large step. The observation combines robot position and target offset with current and resting branch nodes, stiffness, contact flags, safety limits, branch masks and the remaining budget. The reward favours target progress and penalizes deformation and travel, with a success bonus and a damage penalty. Motions are split into substeps to check contact and segment strain. Success or damage ends the episode; the step limit is handled as a truncation.</w:t>
      </w:r>
    </w:p>
    <w:p>
      <w:pPr>
        <w:jc w:val="left"/>
      </w:pPr>
      <w:r>
        <w:rPr>
          <w:color w:val="000000"/>
        </w:rPr>
        <w:t>The step method passes the action through _action_motion, _simulate_motion and _finish_step. These helpers decode the movement and add execution noise, resolve branch contact, then evaluate the resulting state. If a contact update is infeasible, motion is shortened or blocked. Reward and termination are computed from the accepted motion and branch deformation, so a large commanded step need not produce equally large displacement.</w:t>
      </w:r>
    </w:p>
    <w:p>
      <w:pPr>
        <w:jc w:val="left"/>
      </w:pPr>
      <w:r>
        <w:t>We read the input size from the environment rather than fixing it in the network code. The default layout uses 125 inputs and the mixed canopy uses 341. Because these inputs are fixed-length state vectors, we use an MLP without an image encoder. It has two fully connected hidden layers, each with 256 ReLU units. A linear layer outputs eight Q values, one for each action. The two versions contain 100,104 and 155,400 trainable parameters, respectively. Greedy action selection takes the largest Q value. These values are not action probabilities.</w:t>
      </w:r>
    </w:p>
    <w:p>
      <w:pPr>
        <w:jc w:val="left"/>
      </w:pPr>
      <w:r>
        <w:rPr>
          <w:color w:val="000000"/>
        </w:rPr>
        <w:t>DQN fits this discrete action space because a single forward pass evaluates all eight available moves. The state vector supplies geometry and contact information for estimating future reward. This lets action selection account for both target progress and the deformation penalties encoded in the environment.</w:t>
      </w:r>
    </w:p>
    <w:p>
      <w:pPr>
        <w:keepNext/>
        <w:spacing w:after="80"/>
        <w:jc w:val="left"/>
      </w:pPr>
      <w:r>
        <w:rPr>
          <w:sz w:val="20"/>
        </w:rPr>
        <w:t>Table 1 summarizes the code organization. The envs and agents folders are under src/me5418_harvesting/.</w:t>
      </w:r>
    </w:p>
    <w:p>
      <w:pPr>
        <w:pStyle w:val="Caption"/>
        <w:keepNext/>
        <w:keepLines/>
        <w:spacing w:before="140" w:after="100" w:line="240" w:lineRule="auto"/>
        <w:ind w:firstLine="0" w:left="0" w:right="0"/>
        <w:jc w:val="center"/>
      </w:pPr>
      <w:r>
        <w:rPr>
          <w:rFonts w:ascii="Times New Roman" w:hAnsi="Times New Roman" w:eastAsia="宋体"/>
          <w:b/>
          <w:i w:val="0"/>
          <w:color w:val="000000"/>
          <w:sz w:val="21"/>
        </w:rPr>
        <w:t xml:space="preserve">Table 1  </w:t>
      </w:r>
      <w:r>
        <w:rPr>
          <w:rFonts w:ascii="Times New Roman" w:hAnsi="Times New Roman" w:eastAsia="宋体"/>
          <w:b w:val="0"/>
          <w:i w:val="0"/>
          <w:color w:val="000000"/>
          <w:sz w:val="21"/>
        </w:rPr>
        <w:t>Organization of the implementation</w:t>
      </w:r>
    </w:p>
    <w:tbl>
      <w:tblPr>
        <w:tblW w:type="dxa" w:w="9936"/>
        <w:tblLayout w:type="fixed"/>
        <w:jc w:val="center"/>
        <w:tblCellMar>
          <w:top w:type="dxa" w:w="90"/>
          <w:bottom w:type="dxa" w:w="90"/>
          <w:left w:type="dxa" w:w="120"/>
          <w:right w:type="dxa" w:w="120"/>
        </w:tblCellMar>
        <w:tblCellSpacing w:type="dxa" w:w="0"/>
        <w:tblLook w:val="0000" w:firstRow="0" w:lastRow="0" w:firstColumn="0" w:lastColumn="0" w:noHBand="1" w:noVBand="1"/>
        <w:tblBorders>
          <w:top w:val="nil"/>
          <w:bottom w:val="nil"/>
          <w:left w:val="nil"/>
          <w:right w:val="nil"/>
          <w:start w:val="nil"/>
          <w:end w:val="nil"/>
          <w:insideH w:val="nil"/>
          <w:insideV w:val="nil"/>
        </w:tblBorders>
      </w:tblPr>
      <w:tblGrid>
        <w:gridCol w:w="3456"/>
        <w:gridCol w:w="6480"/>
      </w:tblGrid>
      <w:tr>
        <w:trPr>
          <w:cantSplit/>
          <w:tblHeader/>
        </w:trPr>
        <w:tc>
          <w:tcPr>
            <w:tcW w:type="dxa" w:w="3456"/>
            <w:vAlign w:val="center"/>
            <w:tcBorders>
              <w:top w:val="single" w:sz="12" w:color="000000" w:space="0"/>
              <w:bottom w:val="single" w:sz="4" w:color="000000" w:space="0"/>
              <w:left w:val="nil"/>
              <w:right w:val="nil"/>
              <w:start w:val="nil"/>
              <w:end w:val="nil"/>
              <w:insideH w:val="nil"/>
              <w:insideV w:val="nil"/>
            </w:tcBorders>
          </w:tcPr>
          <w:p>
            <w:pPr>
              <w:keepNext/>
              <w:keepLines/>
              <w:spacing w:after="0" w:before="0" w:line="269" w:lineRule="auto"/>
              <w:ind w:firstLine="0" w:left="0" w:right="0"/>
              <w:jc w:val="center"/>
            </w:pPr>
            <w:r>
              <w:rPr>
                <w:rFonts w:ascii="Times New Roman" w:hAnsi="Times New Roman" w:eastAsia="宋体"/>
                <w:b/>
                <w:i w:val="0"/>
                <w:color w:val="000000"/>
                <w:sz w:val="21"/>
              </w:rPr>
              <w:t>File or module</w:t>
            </w:r>
          </w:p>
        </w:tc>
        <w:tc>
          <w:tcPr>
            <w:tcW w:type="dxa" w:w="6480"/>
            <w:vAlign w:val="center"/>
            <w:tcBorders>
              <w:top w:val="single" w:sz="12" w:color="000000" w:space="0"/>
              <w:bottom w:val="single" w:sz="4" w:color="000000" w:space="0"/>
              <w:left w:val="nil"/>
              <w:right w:val="nil"/>
              <w:start w:val="nil"/>
              <w:end w:val="nil"/>
              <w:insideH w:val="nil"/>
              <w:insideV w:val="nil"/>
            </w:tcBorders>
          </w:tcPr>
          <w:p>
            <w:pPr>
              <w:keepNext/>
              <w:keepLines/>
              <w:spacing w:after="0" w:before="0" w:line="269" w:lineRule="auto"/>
              <w:ind w:firstLine="0" w:left="0" w:right="0"/>
              <w:jc w:val="center"/>
            </w:pPr>
            <w:r>
              <w:rPr>
                <w:rFonts w:ascii="Times New Roman" w:hAnsi="Times New Roman" w:eastAsia="宋体"/>
                <w:b/>
                <w:i w:val="0"/>
                <w:color w:val="000000"/>
                <w:sz w:val="21"/>
              </w:rPr>
              <w:t>Responsibility</w:t>
            </w:r>
          </w:p>
        </w:tc>
      </w:tr>
      <w:tr>
        <w:trPr>
          <w:cantSplit/>
        </w:trPr>
        <w:tc>
          <w:tcPr>
            <w:tcW w:type="dxa" w:w="3456"/>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Consolas" w:hAnsi="Consolas" w:eastAsia="宋体"/>
                <w:b w:val="0"/>
                <w:i w:val="0"/>
                <w:color w:val="000000"/>
                <w:sz w:val="20"/>
              </w:rPr>
              <w:t>envs/</w:t>
            </w:r>
          </w:p>
        </w:tc>
        <w:tc>
          <w:tcPr>
            <w:tcW w:type="dxa" w:w="6480"/>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Times New Roman" w:hAnsi="Times New Roman" w:eastAsia="宋体"/>
                <w:b w:val="0"/>
                <w:i w:val="0"/>
                <w:color w:val="000000"/>
                <w:sz w:val="21"/>
              </w:rPr>
              <w:t>Seeded scenes, branch physics and the Gymnasium harvesting environment.</w:t>
            </w:r>
          </w:p>
        </w:tc>
      </w:tr>
      <w:tr>
        <w:trPr>
          <w:cantSplit/>
        </w:trPr>
        <w:tc>
          <w:tcPr>
            <w:tcW w:type="dxa" w:w="3456"/>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Consolas" w:hAnsi="Consolas" w:eastAsia="宋体"/>
                <w:b w:val="0"/>
                <w:i w:val="0"/>
                <w:color w:val="000000"/>
                <w:sz w:val="20"/>
              </w:rPr>
              <w:t>agents/dqn.py</w:t>
            </w:r>
          </w:p>
        </w:tc>
        <w:tc>
          <w:tcPr>
            <w:tcW w:type="dxa" w:w="6480"/>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Times New Roman" w:hAnsi="Times New Roman" w:eastAsia="宋体"/>
                <w:b w:val="0"/>
                <w:i w:val="0"/>
                <w:color w:val="000000"/>
                <w:sz w:val="21"/>
              </w:rPr>
              <w:t>DQN settings and the fully connected Q-network builder.</w:t>
            </w:r>
          </w:p>
        </w:tc>
      </w:tr>
      <w:tr>
        <w:trPr>
          <w:cantSplit/>
        </w:trPr>
        <w:tc>
          <w:tcPr>
            <w:tcW w:type="dxa" w:w="3456"/>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Consolas" w:hAnsi="Consolas" w:eastAsia="宋体"/>
                <w:b w:val="0"/>
                <w:i w:val="0"/>
                <w:color w:val="000000"/>
                <w:sz w:val="20"/>
              </w:rPr>
              <w:t>agents/dqn_learning.py</w:t>
            </w:r>
          </w:p>
        </w:tc>
        <w:tc>
          <w:tcPr>
            <w:tcW w:type="dxa" w:w="6480"/>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Times New Roman" w:hAnsi="Times New Roman" w:eastAsia="宋体"/>
                <w:b w:val="0"/>
                <w:i w:val="0"/>
                <w:color w:val="000000"/>
                <w:sz w:val="21"/>
              </w:rPr>
              <w:t>Transition batches, Bellman targets, Adam updates and target synchronization.</w:t>
            </w:r>
          </w:p>
        </w:tc>
      </w:tr>
      <w:tr>
        <w:trPr>
          <w:cantSplit/>
        </w:trPr>
        <w:tc>
          <w:tcPr>
            <w:tcW w:type="dxa" w:w="3456"/>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Consolas" w:hAnsi="Consolas" w:eastAsia="宋体"/>
                <w:b w:val="0"/>
                <w:i w:val="0"/>
                <w:color w:val="000000"/>
                <w:sz w:val="20"/>
              </w:rPr>
              <w:t>scripts/run_network_demo.py</w:t>
            </w:r>
          </w:p>
        </w:tc>
        <w:tc>
          <w:tcPr>
            <w:tcW w:type="dxa" w:w="6480"/>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Times New Roman" w:hAnsi="Times New Roman" w:eastAsia="宋体"/>
                <w:b w:val="0"/>
                <w:i w:val="0"/>
                <w:color w:val="000000"/>
                <w:sz w:val="21"/>
              </w:rPr>
              <w:t>Forward/backward diagnostics and a network-selected environment action.</w:t>
            </w:r>
          </w:p>
        </w:tc>
      </w:tr>
      <w:tr>
        <w:trPr>
          <w:cantSplit/>
        </w:trPr>
        <w:tc>
          <w:tcPr>
            <w:tcW w:type="dxa" w:w="3456"/>
            <w:vAlign w:val="center"/>
            <w:tcBorders>
              <w:top w:val="nil"/>
              <w:bottom w:val="single" w:sz="12" w:color="000000" w:space="0"/>
              <w:left w:val="nil"/>
              <w:right w:val="nil"/>
              <w:start w:val="nil"/>
              <w:end w:val="nil"/>
              <w:insideH w:val="nil"/>
              <w:insideV w:val="nil"/>
            </w:tcBorders>
          </w:tcPr>
          <w:p>
            <w:pPr>
              <w:keepNext w:val="0"/>
              <w:keepLines/>
              <w:spacing w:after="0" w:before="0" w:line="269" w:lineRule="auto"/>
              <w:ind w:firstLine="0" w:left="0" w:right="0"/>
              <w:jc w:val="left"/>
            </w:pPr>
            <w:r>
              <w:rPr>
                <w:rFonts w:ascii="Consolas" w:hAnsi="Consolas" w:eastAsia="宋体"/>
                <w:b w:val="0"/>
                <w:i w:val="0"/>
                <w:color w:val="000000"/>
                <w:sz w:val="20"/>
              </w:rPr>
              <w:t>configs/ and tests/</w:t>
            </w:r>
          </w:p>
        </w:tc>
        <w:tc>
          <w:tcPr>
            <w:tcW w:type="dxa" w:w="6480"/>
            <w:vAlign w:val="center"/>
            <w:tcBorders>
              <w:top w:val="nil"/>
              <w:bottom w:val="single" w:sz="12" w:color="000000" w:space="0"/>
              <w:left w:val="nil"/>
              <w:right w:val="nil"/>
              <w:start w:val="nil"/>
              <w:end w:val="nil"/>
              <w:insideH w:val="nil"/>
              <w:insideV w:val="nil"/>
            </w:tcBorders>
          </w:tcPr>
          <w:p>
            <w:pPr>
              <w:keepNext w:val="0"/>
              <w:keepLines/>
              <w:spacing w:after="0" w:before="0" w:line="269" w:lineRule="auto"/>
              <w:ind w:firstLine="0" w:left="0" w:right="0"/>
              <w:jc w:val="left"/>
            </w:pPr>
            <w:r>
              <w:rPr>
                <w:rFonts w:ascii="Times New Roman" w:hAnsi="Times New Roman" w:eastAsia="宋体"/>
                <w:b w:val="0"/>
                <w:i w:val="0"/>
                <w:color w:val="000000"/>
                <w:sz w:val="21"/>
              </w:rPr>
              <w:t>YAML settings and physics, learning and clean-packaging checks.</w:t>
            </w:r>
          </w:p>
        </w:tc>
      </w:tr>
    </w:tbl>
    <w:p>
      <w:pPr>
        <w:spacing w:before="140"/>
        <w:jc w:val="left"/>
      </w:pPr>
      <w:r>
        <w:rPr>
          <w:color w:val="000000"/>
        </w:rPr>
        <w:t>With the default settings, the demo fixes the random seed and collects 128 transitions using a random policy. It then performs three updates with minibatches of 128. We store the final next observation before resetting an episode so that a transition cannot accidentally point into a new episode. The online network predicts the Q value of the recorded action. Its Bellman target adds the reward to the discounted maximum next-state Q value from the target network, with a discount factor of 0.99. We stop bootstrapping after success or damage, but keep it for time-limit truncations. A default minibatch has shape 128 by 125 and produces 128 by 8 Q values. A gather operation selects each recorded action's prediction for the loss.</w:t>
      </w:r>
    </w:p>
    <w:p>
      <w:pPr>
        <w:jc w:val="left"/>
      </w:pPr>
      <w:r>
        <w:rPr>
          <w:color w:val="000000"/>
        </w:rPr>
        <w:t>We use Adam to minimize Huber loss with a learning rate of 0.0003 and clip the gradient norm at 10. The target network is initialized from the online network, kept frozen, and synchronized every 1,000 updates. As the default demo runs for only three updates, it uses the initial target weights throughout. The printed diagnostics include an input sample, Q values, a Bellman target, loss, gradient norm and parameter-change norm. Before and after each update, the loss is evaluated against the same detached targets. The demo also checks that gradients and parameter changes are nonzero. Huber loss reduces sensitivity to large temporal-difference errors compared with squared error. Gradient clipping limits the norm used by the optimizer, while the frozen network keeps the target function fixed between synchronizations.</w:t>
      </w:r>
    </w:p>
    <w:p>
      <w:pPr>
        <w:jc w:val="left"/>
      </w:pPr>
      <w:r>
        <w:rPr>
          <w:color w:val="000000"/>
        </w:rPr>
        <w:t>Backpropagation runs only through the online network. Target values are calculated without gradient tracking, and the NumPy environment supplies stored transitions outside that graph. The learner therefore does not differentiate through the contact solver. DQNUpdater owns the networks and optimizer; the demo script coordinates collection, batch sampling and updates, then executes the greedy action. This separation lets us inspect the learning update independently of scene generation and physics.</w:t>
      </w:r>
    </w:p>
    <w:p>
      <w:pPr>
        <w:pStyle w:val="Heading1"/>
      </w:pPr>
      <w:r>
        <w:t>2 Existing Codes and Libraries</w:t>
      </w:r>
    </w:p>
    <w:p>
      <w:pPr>
        <w:jc w:val="left"/>
      </w:pPr>
      <w:r>
        <w:t>PyTorch 2.15.0+cpu provides the Linear and ReLU layers, automatic differentiation, Adam, Huber loss and gradient clipping used in our DQN code. We use it to inspect gradients and parameter updates directly. Gymnasium 1.4.0 provides the reset/step interface and the observation and action spaces. Its common interface lets the same environment support the network demo and handwritten controllers. The scene generator, branch-contact rules, rewards, demonstration controllers and A* planner are part of our repository. We do not require an external robotics simulator or a pretrained model.</w:t>
      </w:r>
    </w:p>
    <w:p>
      <w:pPr>
        <w:jc w:val="left"/>
      </w:pPr>
      <w:r>
        <w:t>NumPy 2.5.3 handles geometry calculations and seeded sampling in our lightweight local simulator. We use Matplotlib 3.11.2 and Pillow 12.3.0 for frames and GIFs so that contact and deformation can be inspected visually. PyYAML 6.0.3 reads configuration files, keeping scene settings separate from the network and environment code. Tests run with pytest 9.1.1, and Ruff 0.17.0 checks the code. We pin Python 3.13.13 and these direct dependencies in environment.yml. The demo runs on the CPU, so a GPU is not needed. Codex assisted with implementation, debugging, tests and documentation; we reviewed the code using executable checks.</w:t>
      </w:r>
    </w:p>
    <w:p>
      <w:pPr>
        <w:pStyle w:val="Heading1"/>
      </w:pPr>
      <w:r>
        <w:t>3 Reflections and Lessons Learned</w:t>
      </w:r>
    </w:p>
    <w:p>
      <w:pPr>
        <w:jc w:val="left"/>
      </w:pPr>
      <w:r>
        <w:t>The main lesson from connecting the network to the environment was to make the data interfaces explicit. The mixed canopy needs 341 inputs, so a network fixed at 125 inputs would fail. We also needed to distinguish termination from truncation and store the final observation before reset. Otherwise, a transition could use a state from the next episode. Splitting HarvestingEnv.step into helpers for actions, motion and transition evaluation made this logic easier to inspect.</w:t>
      </w:r>
    </w:p>
    <w:p>
      <w:pPr>
        <w:jc w:val="left"/>
      </w:pPr>
      <w:r>
        <w:t>The simulator makes several simplifications. It uses fully observed, planar geometry to approximate quasi-static branch contact. It omits inertia, hysteresis and interactions between branches, and has not been calibrated to a plant. A separate issue is feature scale: the mixed scene includes stiffness values of 1e6 while positions are near one. Before full training, we should normalize the features or transform stiffness to prevent that difference from dominating the inputs.</w:t>
      </w:r>
    </w:p>
    <w:p>
      <w:pPr>
        <w:jc w:val="left"/>
      </w:pPr>
      <w:r>
        <w:t>We have not yet run the planned comparison between DQN and receding-horizon planning. The current demo samples from a fixed set of transitions; replay-buffer training, warmup and epsilon-greedy schedules still need to be implemented. We will then train across multiple seeds, evaluate held-out scenes and vary execution noise and contact parameters. The comparison should include success, damage, travel and decision cost. A reduction in minibatch loss by itself would not show that the policy can harvest fruit effectively.</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936" w:right="1008" w:bottom="936" w:left="1008" w:header="317"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Group 18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247"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widowControl/>
      <w:spacing w:before="160" w:after="8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b/>
      <w:bCs/>
      <w:color w:val="000000"/>
      <w:sz w:val="28"/>
      <w:szCs w:val="28"/>
    </w:rPr>
  </w:style>
  <w:style w:type="character" w:customStyle="1" w:styleId="Heading2Char">
    <w:name w:val="Heading 2 Char"/>
    <w:basedOn w:val="DefaultParagraphFont"/>
    <w:link w:val="Heading2"/>
    <w:uiPriority w:val="9"/>
    <w:rsid w:val="00FC693F"/>
    <w:rPr>
      <w:rFonts/>
      <w:b/>
      <w:bCs/>
      <w:color w:val="000000"/>
      <w:sz w:val="26"/>
      <w:szCs w:val="26"/>
    </w:rPr>
  </w:style>
  <w:style w:type="character" w:customStyle="1" w:styleId="Heading3Char">
    <w:name w:val="Heading 3 Char"/>
    <w:basedOn w:val="DefaultParagraphFont"/>
    <w:link w:val="Heading3"/>
    <w:uiPriority w:val="9"/>
    <w:rsid w:val="00FC693F"/>
    <w:rPr>
      <w:rFonts/>
      <w:b/>
      <w:bCs/>
      <w:color w:val="000000"/>
    </w:rPr>
  </w:style>
  <w:style w:type="paragraph" w:styleId="Title">
    <w:name w:val="Title"/>
    <w:basedOn w:val="Normal"/>
    <w:next w:val="Normal"/>
    <w:link w:val="TitleChar"/>
    <w:uiPriority w:val="10"/>
    <w:qFormat/>
    <w:rsid w:val="00FC693F"/>
    <w:pPr>
      <w:keepNext/>
      <w:widowControl/>
      <w:spacing w:after="6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olor w:val="000000"/>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00"/>
    </w:pPr>
    <w:rPr>
      <w:rFonts w:ascii="Times New Roman" w:hAnsi="Times New Roman"/>
      <w:i w:val="0"/>
      <w:iCs/>
      <w:color w:val="000000"/>
      <w:spacing w:val="15"/>
      <w:sz w:val="21"/>
      <w:szCs w:val="24"/>
    </w:rPr>
  </w:style>
  <w:style w:type="character" w:customStyle="1" w:styleId="SubtitleChar">
    <w:name w:val="Subtitle Char"/>
    <w:basedOn w:val="DefaultParagraphFont"/>
    <w:link w:val="Subtitle"/>
    <w:uiPriority w:val="11"/>
    <w:rsid w:val="00FC693F"/>
    <w:rPr>
      <w:rFonts/>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000000"/>
    </w:rPr>
  </w:style>
  <w:style w:type="character" w:customStyle="1" w:styleId="Heading5Char">
    <w:name w:val="Heading 5 Char"/>
    <w:basedOn w:val="DefaultParagraphFont"/>
    <w:link w:val="Heading5"/>
    <w:uiPriority w:val="9"/>
    <w:semiHidden/>
    <w:rsid w:val="00FC693F"/>
    <w:rPr>
      <w:rFonts/>
      <w:color w:val="000000"/>
    </w:rPr>
  </w:style>
  <w:style w:type="character" w:customStyle="1" w:styleId="Heading6Char">
    <w:name w:val="Heading 6 Char"/>
    <w:basedOn w:val="DefaultParagraphFont"/>
    <w:link w:val="Heading6"/>
    <w:uiPriority w:val="9"/>
    <w:semiHidden/>
    <w:rsid w:val="00FC693F"/>
    <w:rPr>
      <w:rFonts/>
      <w:i/>
      <w:iCs/>
      <w:color w:val="000000"/>
    </w:rPr>
  </w:style>
  <w:style w:type="character" w:customStyle="1" w:styleId="Heading7Char">
    <w:name w:val="Heading 7 Char"/>
    <w:basedOn w:val="DefaultParagraphFont"/>
    <w:link w:val="Heading7"/>
    <w:uiPriority w:val="9"/>
    <w:semiHidden/>
    <w:rsid w:val="00FC693F"/>
    <w:rPr>
      <w:rFonts/>
      <w:i/>
      <w:iCs/>
      <w:color w:val="000000"/>
    </w:rPr>
  </w:style>
  <w:style w:type="character" w:customStyle="1" w:styleId="Heading8Char">
    <w:name w:val="Heading 8 Char"/>
    <w:basedOn w:val="DefaultParagraphFont"/>
    <w:link w:val="Heading8"/>
    <w:uiPriority w:val="9"/>
    <w:semiHidden/>
    <w:rsid w:val="00FC693F"/>
    <w:rPr>
      <w:rFonts/>
      <w:color w:val="000000"/>
      <w:sz w:val="20"/>
      <w:szCs w:val="20"/>
    </w:rPr>
  </w:style>
  <w:style w:type="character" w:customStyle="1" w:styleId="Heading9Char">
    <w:name w:val="Heading 9 Char"/>
    <w:basedOn w:val="DefaultParagraphFont"/>
    <w:link w:val="Heading9"/>
    <w:uiPriority w:val="9"/>
    <w:semiHidden/>
    <w:rsid w:val="00FC693F"/>
    <w:rPr>
      <w:rFonts/>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 Design for Robotic Harvesting</dc:title>
  <dc:subject>ME5418 Group 18 Code Implementation Report</dc:subject>
  <dc:creator>Group 18</dc:creator>
  <cp:keywords>ME5418, DQN, robotic harvesting, neural network</cp:keywords>
  <dc:description>generated by python-docx</dc:description>
  <cp:lastModifiedBy>Group 18</cp:lastModifiedBy>
  <cp:revision>1</cp:revision>
  <dcterms:created xsi:type="dcterms:W3CDTF">2013-12-23T23:15:00Z</dcterms:created>
  <dcterms:modified xsi:type="dcterms:W3CDTF">2013-12-23T23:15:00Z</dcterms:modified>
  <cp:category/>
</cp:coreProperties>
</file>