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黑体"/>
        </w:rPr>
        <w:t>面向机器人采摘的神经网络设计</w:t>
      </w:r>
    </w:p>
    <w:p>
      <w:pPr>
        <w:pStyle w:val="Subtitle"/>
      </w:pPr>
      <w:r>
        <w:rPr>
          <w:rFonts w:eastAsia="宋体"/>
        </w:rPr>
        <w:t>ME5418   第18组   代码实现报告</w:t>
      </w:r>
    </w:p>
    <w:p>
      <w:pPr>
        <w:ind w:firstLine="480"/>
        <w:jc w:val="left"/>
      </w:pPr>
      <w:r>
        <w:rPr>
          <w:rFonts w:eastAsia="宋体"/>
        </w:rPr>
        <w:t>我们搭建了一个二维机器人采摘环境，并实现了深度Q网络（DQN）演示程序。程序使用从仿真环境采集的状态转移样本，完成前向传播、反向传播和网络参数更新，随后执行由更新后的网络选出的动作。本文介绍目前的代码实现及已经完成的检查。完整的策略训练和方法对比评估仍有待开展。</w:t>
      </w:r>
    </w:p>
    <w:p>
      <w:pPr>
        <w:pStyle w:val="Heading1"/>
      </w:pPr>
      <w:r>
        <w:rPr>
          <w:rFonts w:eastAsia="黑体"/>
        </w:rPr>
        <w:t>1 代码说明</w:t>
      </w:r>
    </w:p>
    <w:p>
      <w:pPr>
        <w:ind w:firstLine="480"/>
        <w:jc w:val="left"/>
      </w:pPr>
      <w:r>
        <w:rPr>
          <w:rFonts w:eastAsia="宋体"/>
          <w:color w:val="000000"/>
        </w:rPr>
        <w:t>环境中的末端执行器被建模为圆形，需要穿过柔性树枝到达果实。动作空间包含八个动作：沿上、下、左、右四个方向移动，每个方向分别提供小步长和大步长。观测向量包含机器人位置、目标相对位置、树枝当前及静止状态的节点、刚度、接触标记、安全形变上限、树枝有效性掩码，以及剩余动作预算。奖励鼓励接近目标，并惩罚树枝形变和行程，同时设置成功奖励与损伤惩罚。每次运动会被拆分为多个子步，以检查接触和枝条线段应变。成功、损伤或耗尽步数预算都会使任务终止（termination）；默认场景的预算为100步，混合树冠场景为200步。</w:t>
      </w:r>
    </w:p>
    <w:p>
      <w:pPr>
        <w:ind w:firstLine="480"/>
        <w:jc w:val="left"/>
      </w:pPr>
      <w:r>
        <w:rPr>
          <w:color w:val="000000"/>
        </w:rPr>
        <w:t>step方法依次调用_action_motion、_simulate_motion和_finish_step。这些辅助函数负责解析动作并加入执行噪声、求解树枝接触，再根据求解后的状态计算奖励与终止条件。接触更新不可行时，运动会被缩短或阻止。因此，奖励与回合结束条件依据的是实际接受的运动和树枝形变，较大的指令步长不一定带来同等大小的位移。</w:t>
      </w:r>
    </w:p>
    <w:p>
      <w:pPr>
        <w:ind w:firstLine="480"/>
        <w:jc w:val="left"/>
      </w:pPr>
      <w:r>
        <w:rPr>
          <w:rFonts w:eastAsia="宋体"/>
        </w:rPr>
        <w:t>网络输入维度由环境读取，不在网络代码中写死。默认场景使用125维输入，混合树冠场景使用341维输入。由于输入是定长状态向量，我们采用多层感知机（MLP），无需图像编码器。网络包含两个全连接隐藏层，每层有256个ReLU单元；线性输出层给出八个Q值，分别对应八个动作。两个版本的可训练参数量分别为100,104和155,400。采用贪心方式选择动作时，取Q值最大的动作。这些输出表示动作价值，而不是动作概率。</w:t>
      </w:r>
    </w:p>
    <w:p>
      <w:pPr>
        <w:ind w:firstLine="480"/>
        <w:jc w:val="left"/>
      </w:pPr>
      <w:r>
        <w:rPr>
          <w:color w:val="000000"/>
        </w:rPr>
        <w:t>DQN适用于这里的离散动作空间，因为一次前向传播即可评估全部八个可选动作。状态向量提供几何与接触信息，用于估计未来奖励。选择动作时，网络可以同时考虑接近目标带来的收益，以及环境奖励中定义的形变惩罚。</w:t>
      </w:r>
    </w:p>
    <w:p>
      <w:pPr>
        <w:keepNext/>
        <w:spacing w:after="80"/>
        <w:jc w:val="left"/>
      </w:pPr>
      <w:r>
        <w:rPr>
          <w:rFonts w:eastAsia="宋体"/>
          <w:sz w:val="20"/>
        </w:rPr>
        <w:t>代码模块及其职责见表1，其中envs和agents文件夹位于src/me5418_harvesting/目录下。</w:t>
      </w:r>
    </w:p>
    <w:p>
      <w:pPr>
        <w:pStyle w:val="Caption"/>
        <w:keepNext/>
        <w:keepLines/>
        <w:spacing w:before="140" w:after="100" w:line="240" w:lineRule="auto"/>
        <w:ind w:firstLine="0" w:left="0" w:right="0"/>
        <w:jc w:val="center"/>
      </w:pPr>
      <w:r>
        <w:rPr>
          <w:rFonts w:ascii="Times New Roman" w:hAnsi="Times New Roman" w:eastAsia="宋体"/>
          <w:b/>
          <w:i w:val="0"/>
          <w:color w:val="000000"/>
          <w:sz w:val="21"/>
        </w:rPr>
        <w:t xml:space="preserve">表1  </w:t>
      </w:r>
      <w:r>
        <w:rPr>
          <w:rFonts w:ascii="Times New Roman" w:hAnsi="Times New Roman" w:eastAsia="宋体"/>
          <w:b w:val="0"/>
          <w:i w:val="0"/>
          <w:color w:val="000000"/>
          <w:sz w:val="21"/>
        </w:rPr>
        <w:t>代码模块及其职责</w:t>
      </w:r>
    </w:p>
    <w:tbl>
      <w:tblPr>
        <w:tblW w:type="dxa" w:w="9936"/>
        <w:tblLayout w:type="fixed"/>
        <w:jc w:val="center"/>
        <w:tblCellMar>
          <w:top w:type="dxa" w:w="90"/>
          <w:bottom w:type="dxa" w:w="90"/>
          <w:left w:type="dxa" w:w="120"/>
          <w:right w:type="dxa" w:w="120"/>
        </w:tblCellMar>
        <w:tblCellSpacing w:type="dxa" w:w="0"/>
        <w:tblLook w:val="0000" w:firstRow="0" w:lastRow="0" w:firstColumn="0" w:lastColumn="0" w:noHBand="1" w:noVBand="1"/>
        <w:tblBorders>
          <w:top w:val="nil"/>
          <w:bottom w:val="nil"/>
          <w:left w:val="nil"/>
          <w:right w:val="nil"/>
          <w:start w:val="nil"/>
          <w:end w:val="nil"/>
          <w:insideH w:val="nil"/>
          <w:insideV w:val="nil"/>
        </w:tblBorders>
      </w:tblPr>
      <w:tblGrid>
        <w:gridCol w:w="3456"/>
        <w:gridCol w:w="6480"/>
      </w:tblGrid>
      <w:tr>
        <w:trPr>
          <w:cantSplit/>
          <w:tblHeader/>
        </w:trPr>
        <w:tc>
          <w:tcPr>
            <w:tcW w:type="dxa" w:w="3456"/>
            <w:vAlign w:val="center"/>
            <w:tcBorders>
              <w:top w:val="single" w:sz="12" w:color="000000" w:space="0"/>
              <w:bottom w:val="single" w:sz="4" w:color="000000" w:space="0"/>
              <w:left w:val="nil"/>
              <w:right w:val="nil"/>
              <w:start w:val="nil"/>
              <w:end w:val="nil"/>
              <w:insideH w:val="nil"/>
              <w:insideV w:val="nil"/>
            </w:tcBorders>
          </w:tcPr>
          <w:p>
            <w:pPr>
              <w:keepNext/>
              <w:keepLines/>
              <w:spacing w:after="0" w:before="0" w:line="269" w:lineRule="auto"/>
              <w:ind w:firstLine="0" w:left="0" w:right="0"/>
              <w:jc w:val="center"/>
            </w:pPr>
            <w:r>
              <w:rPr>
                <w:rFonts w:ascii="Times New Roman" w:hAnsi="Times New Roman" w:eastAsia="宋体"/>
                <w:b/>
                <w:i w:val="0"/>
                <w:color w:val="000000"/>
                <w:sz w:val="22"/>
              </w:rPr>
              <w:t>文件或模块</w:t>
            </w:r>
          </w:p>
        </w:tc>
        <w:tc>
          <w:tcPr>
            <w:tcW w:type="dxa" w:w="6480"/>
            <w:vAlign w:val="center"/>
            <w:tcBorders>
              <w:top w:val="single" w:sz="12" w:color="000000" w:space="0"/>
              <w:bottom w:val="single" w:sz="4" w:color="000000" w:space="0"/>
              <w:left w:val="nil"/>
              <w:right w:val="nil"/>
              <w:start w:val="nil"/>
              <w:end w:val="nil"/>
              <w:insideH w:val="nil"/>
              <w:insideV w:val="nil"/>
            </w:tcBorders>
          </w:tcPr>
          <w:p>
            <w:pPr>
              <w:keepNext/>
              <w:keepLines/>
              <w:spacing w:after="0" w:before="0" w:line="269" w:lineRule="auto"/>
              <w:ind w:firstLine="0" w:left="0" w:right="0"/>
              <w:jc w:val="center"/>
            </w:pPr>
            <w:r>
              <w:rPr>
                <w:rFonts w:ascii="Times New Roman" w:hAnsi="Times New Roman" w:eastAsia="宋体"/>
                <w:b/>
                <w:i w:val="0"/>
                <w:color w:val="000000"/>
                <w:sz w:val="22"/>
              </w:rPr>
              <w:t>主要职责</w:t>
            </w:r>
          </w:p>
        </w:tc>
      </w:tr>
      <w:tr>
        <w:trPr>
          <w:cantSplit/>
        </w:trPr>
        <w:tc>
          <w:tcPr>
            <w:tcW w:type="dxa" w:w="3456"/>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Consolas" w:hAnsi="Consolas" w:eastAsia="宋体"/>
                <w:b w:val="0"/>
                <w:i w:val="0"/>
                <w:color w:val="000000"/>
                <w:sz w:val="20"/>
              </w:rPr>
              <w:t>envs/</w:t>
            </w:r>
          </w:p>
        </w:tc>
        <w:tc>
          <w:tcPr>
            <w:tcW w:type="dxa" w:w="6480"/>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Times New Roman" w:hAnsi="Times New Roman" w:eastAsia="宋体"/>
                <w:b w:val="0"/>
                <w:i w:val="0"/>
                <w:color w:val="000000"/>
                <w:sz w:val="22"/>
              </w:rPr>
              <w:t>带随机种子的场景生成、树枝物理和Gymnasium采摘环境。</w:t>
            </w:r>
          </w:p>
        </w:tc>
      </w:tr>
      <w:tr>
        <w:trPr>
          <w:cantSplit/>
        </w:trPr>
        <w:tc>
          <w:tcPr>
            <w:tcW w:type="dxa" w:w="3456"/>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Consolas" w:hAnsi="Consolas" w:eastAsia="宋体"/>
                <w:b w:val="0"/>
                <w:i w:val="0"/>
                <w:color w:val="000000"/>
                <w:sz w:val="20"/>
              </w:rPr>
              <w:t>agents/dqn.py</w:t>
            </w:r>
          </w:p>
        </w:tc>
        <w:tc>
          <w:tcPr>
            <w:tcW w:type="dxa" w:w="6480"/>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Times New Roman" w:hAnsi="Times New Roman" w:eastAsia="宋体"/>
                <w:b w:val="0"/>
                <w:i w:val="0"/>
                <w:color w:val="000000"/>
                <w:sz w:val="22"/>
              </w:rPr>
              <w:t>DQN设置与全连接Q网络的构建。</w:t>
            </w:r>
          </w:p>
        </w:tc>
      </w:tr>
      <w:tr>
        <w:trPr>
          <w:cantSplit/>
        </w:trPr>
        <w:tc>
          <w:tcPr>
            <w:tcW w:type="dxa" w:w="3456"/>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Consolas" w:hAnsi="Consolas" w:eastAsia="宋体"/>
                <w:b w:val="0"/>
                <w:i w:val="0"/>
                <w:color w:val="000000"/>
                <w:sz w:val="20"/>
              </w:rPr>
              <w:t>agents/dqn_learning.py</w:t>
            </w:r>
          </w:p>
        </w:tc>
        <w:tc>
          <w:tcPr>
            <w:tcW w:type="dxa" w:w="6480"/>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Times New Roman" w:hAnsi="Times New Roman" w:eastAsia="宋体"/>
                <w:b w:val="0"/>
                <w:i w:val="0"/>
                <w:color w:val="000000"/>
                <w:sz w:val="22"/>
              </w:rPr>
              <w:t>状态转移批次、Bellman目标值、Adam更新及目标网络同步。</w:t>
            </w:r>
          </w:p>
        </w:tc>
      </w:tr>
      <w:tr>
        <w:trPr>
          <w:cantSplit/>
        </w:trPr>
        <w:tc>
          <w:tcPr>
            <w:tcW w:type="dxa" w:w="3456"/>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Consolas" w:hAnsi="Consolas" w:eastAsia="宋体"/>
                <w:b w:val="0"/>
                <w:i w:val="0"/>
                <w:color w:val="000000"/>
                <w:sz w:val="20"/>
              </w:rPr>
              <w:t>scripts/run_network_demo.py</w:t>
            </w:r>
          </w:p>
        </w:tc>
        <w:tc>
          <w:tcPr>
            <w:tcW w:type="dxa" w:w="6480"/>
            <w:vAlign w:val="center"/>
            <w:tcBorders>
              <w:top w:val="nil"/>
              <w:bottom w:val="nil"/>
              <w:left w:val="nil"/>
              <w:right w:val="nil"/>
              <w:start w:val="nil"/>
              <w:end w:val="nil"/>
              <w:insideH w:val="nil"/>
              <w:insideV w:val="nil"/>
            </w:tcBorders>
          </w:tcPr>
          <w:p>
            <w:pPr>
              <w:keepNext/>
              <w:keepLines/>
              <w:spacing w:after="0" w:before="0" w:line="269" w:lineRule="auto"/>
              <w:ind w:firstLine="0" w:left="0" w:right="0"/>
              <w:jc w:val="left"/>
            </w:pPr>
            <w:r>
              <w:rPr>
                <w:rFonts w:ascii="Times New Roman" w:hAnsi="Times New Roman" w:eastAsia="宋体"/>
                <w:b w:val="0"/>
                <w:i w:val="0"/>
                <w:color w:val="000000"/>
                <w:sz w:val="22"/>
              </w:rPr>
              <w:t>前向与反向传播诊断，以及由网络选择的环境动作执行。</w:t>
            </w:r>
          </w:p>
        </w:tc>
      </w:tr>
      <w:tr>
        <w:trPr>
          <w:cantSplit/>
        </w:trPr>
        <w:tc>
          <w:tcPr>
            <w:tcW w:type="dxa" w:w="3456"/>
            <w:vAlign w:val="center"/>
            <w:tcBorders>
              <w:top w:val="nil"/>
              <w:bottom w:val="single" w:sz="12" w:color="000000" w:space="0"/>
              <w:left w:val="nil"/>
              <w:right w:val="nil"/>
              <w:start w:val="nil"/>
              <w:end w:val="nil"/>
              <w:insideH w:val="nil"/>
              <w:insideV w:val="nil"/>
            </w:tcBorders>
          </w:tcPr>
          <w:p>
            <w:pPr>
              <w:keepNext w:val="0"/>
              <w:keepLines/>
              <w:spacing w:after="0" w:before="0" w:line="269" w:lineRule="auto"/>
              <w:ind w:firstLine="0" w:left="0" w:right="0"/>
              <w:jc w:val="left"/>
            </w:pPr>
            <w:r>
              <w:rPr>
                <w:rFonts w:ascii="Consolas" w:hAnsi="Consolas" w:eastAsia="宋体"/>
                <w:b w:val="0"/>
                <w:i w:val="0"/>
                <w:color w:val="000000"/>
                <w:sz w:val="20"/>
              </w:rPr>
              <w:t>configs/ and tests/</w:t>
            </w:r>
          </w:p>
        </w:tc>
        <w:tc>
          <w:tcPr>
            <w:tcW w:type="dxa" w:w="6480"/>
            <w:vAlign w:val="center"/>
            <w:tcBorders>
              <w:top w:val="nil"/>
              <w:bottom w:val="single" w:sz="12" w:color="000000" w:space="0"/>
              <w:left w:val="nil"/>
              <w:right w:val="nil"/>
              <w:start w:val="nil"/>
              <w:end w:val="nil"/>
              <w:insideH w:val="nil"/>
              <w:insideV w:val="nil"/>
            </w:tcBorders>
          </w:tcPr>
          <w:p>
            <w:pPr>
              <w:keepNext w:val="0"/>
              <w:keepLines/>
              <w:spacing w:after="0" w:before="0" w:line="269" w:lineRule="auto"/>
              <w:ind w:firstLine="0" w:left="0" w:right="0"/>
              <w:jc w:val="left"/>
            </w:pPr>
            <w:r>
              <w:rPr>
                <w:rFonts w:ascii="Times New Roman" w:hAnsi="Times New Roman" w:eastAsia="宋体"/>
                <w:b w:val="0"/>
                <w:i w:val="0"/>
                <w:color w:val="000000"/>
                <w:sz w:val="22"/>
              </w:rPr>
              <w:t>YAML配置，以及物理、学习流程和提交包清理测试。</w:t>
            </w:r>
          </w:p>
        </w:tc>
      </w:tr>
    </w:tbl>
    <w:p>
      <w:pPr>
        <w:pStyle w:val="Heading2"/>
        <w:pageBreakBefore w:val="0"/>
        <w:spacing w:before="140"/>
      </w:pPr>
      <w:r>
        <w:rPr>
          <w:rFonts w:eastAsia="黑体"/>
        </w:rPr>
        <w:t>数据采集与网络更新</w:t>
      </w:r>
    </w:p>
    <w:p>
      <w:pPr>
        <w:spacing w:before="120"/>
        <w:ind w:firstLine="480"/>
        <w:jc w:val="left"/>
      </w:pPr>
      <w:r>
        <w:rPr>
          <w:rFonts w:eastAsia="宋体"/>
          <w:color w:val="000000"/>
        </w:rPr>
        <w:t>默认设置下，演示程序固定随机种子，使用随机策略采集128条状态转移样本，然后以128为小批量大小执行三次更新。我们在重置回合之前保存最后一个下一状态观测，避免某条转移错误地关联到新回合的状态。在线网络预测样本中已执行动作的Q值。Bellman目标值由即时奖励与目标网络给出的下一状态最大Q值的折扣项相加得到，折扣因子为0.99。成功、损伤或预算耗尽后不再使用下一状态价值进行自举估计（bootstrapping）；只有任务尚未结束时的外部提前截断才保留该项。 默认小批量的输入形状为128×125，网络输出128×8个Q值。随后通过gather操作选出各条样本中实际执行动作的预测值，用于计算损失。</w:t>
      </w:r>
    </w:p>
    <w:p>
      <w:pPr>
        <w:ind w:firstLine="480"/>
        <w:jc w:val="left"/>
      </w:pPr>
      <w:r>
        <w:rPr>
          <w:rFonts w:eastAsia="宋体"/>
          <w:color w:val="000000"/>
        </w:rPr>
        <w:t>我们使用Adam优化器最小化Huber损失，学习率为0.0003，并将梯度范数裁剪阈值设为10。目标网络从在线网络复制初始参数后保持冻结，每1,000次更新同步一次。默认演示仅执行三次更新，因此整个过程中使用的都是初始目标网络参数。程序打印输入样本、Q值、Bellman目标值、损失、梯度范数和参数变化范数。每次更新前后的损失都使用同一组已从计算图中分离的目标值进行计算。程序还会检查梯度和参数变化是否为非零。 相比平方误差，Huber损失对较大的时序差分误差不那么敏感。梯度裁剪限制优化器使用的梯度范数，用于生成目标值的网络则在两次同步之间保持不变。</w:t>
      </w:r>
    </w:p>
    <w:p>
      <w:pPr>
        <w:ind w:firstLine="480"/>
        <w:jc w:val="left"/>
      </w:pPr>
      <w:r>
        <w:rPr>
          <w:color w:val="000000"/>
        </w:rPr>
        <w:t>反向传播只经过在线网络。目标值的计算不跟踪梯度，NumPy环境提供的状态转移也位于计算图之外，因此学习过程不会对接触求解器求导。DQNUpdater负责管理两个网络与优化器；演示脚本协调数据采集、小批量采样和参数更新，随后执行贪心动作。这样可以将学习更新与场景生成、物理求解分开检查。</w:t>
      </w:r>
    </w:p>
    <w:p>
      <w:pPr>
        <w:pStyle w:val="Heading1"/>
        <w:pageBreakBefore/>
      </w:pPr>
      <w:r>
        <w:rPr>
          <w:rFonts w:eastAsia="黑体"/>
        </w:rPr>
        <w:t>2 已有代码与外部库</w:t>
      </w:r>
    </w:p>
    <w:p>
      <w:pPr>
        <w:ind w:firstLine="480"/>
        <w:jc w:val="left"/>
      </w:pPr>
      <w:r>
        <w:rPr>
          <w:rFonts w:eastAsia="宋体"/>
        </w:rPr>
        <w:t>PyTorch 2.15.0+cpu提供DQN代码中使用的Linear层、ReLU层、自动微分、Adam、Huber损失和梯度裁剪。使用PyTorch可以直接查看梯度和参数更新。Gymnasium 1.4.0提供reset/step接口，以及观测空间和动作空间。统一的接口使同一环境能够用于网络演示和手写控制器。场景生成器、树枝接触规则、奖励、演示控制器和A*规划器均位于项目仓库中。项目不依赖外部机器人模拟器或预训练模型。</w:t>
      </w:r>
    </w:p>
    <w:p>
      <w:pPr>
        <w:ind w:firstLine="480"/>
        <w:jc w:val="left"/>
      </w:pPr>
      <w:r>
        <w:rPr>
          <w:rFonts w:eastAsia="宋体"/>
        </w:rPr>
        <w:t>NumPy 2.5.3在轻量级本地仿真器中负责几何计算和带随机种子的采样。Matplotlib 3.11.2与Pillow 12.3.0用于生成画面和GIF，便于直观检查接触与形变。PyYAML 6.0.3负责读取配置文件，使场景设置与网络、环境代码分离。测试使用pytest 9.1.1运行，Ruff 0.17.0负责代码检查。我们在environment.yml中固定了Python 3.13.13及这些直接依赖的版本。演示程序在CPU上运行，不需要GPU。Codex辅助了实现、调试、测试和文档撰写；我们通过可执行的检查对代码进行了复核。</w:t>
      </w:r>
    </w:p>
    <w:p>
      <w:pPr>
        <w:pStyle w:val="Heading1"/>
        <w:pageBreakBefore w:val="0"/>
      </w:pPr>
      <w:r>
        <w:rPr>
          <w:rFonts w:eastAsia="黑体"/>
        </w:rPr>
        <w:t>3 反思与经验</w:t>
      </w:r>
    </w:p>
    <w:p>
      <w:pPr>
        <w:ind w:firstLine="480"/>
        <w:jc w:val="left"/>
      </w:pPr>
      <w:r>
        <w:rPr>
          <w:rFonts w:eastAsia="宋体"/>
          <w:color w:val="000000"/>
        </w:rPr>
        <w:t>将网络接入环境后，一个主要体会是需要明确数据接口。混合树冠场景需要341维输入，因此把网络输入固定为125维会导致运行失败。我们还需要把预算耗尽视为任务终止，与外部提前截断区分开，并在重置之前保存最后一个观测。否则，某条状态转移可能错误地使用下一回合的状态。把HarvestingEnv.step拆分为动作处理、运动求解和状态转移评估等辅助函数后，这些逻辑也更容易检查。</w:t>
      </w:r>
    </w:p>
    <w:p>
      <w:pPr>
        <w:ind w:firstLine="480"/>
        <w:jc w:val="left"/>
      </w:pPr>
      <w:r>
        <w:rPr>
          <w:rFonts w:eastAsia="宋体"/>
        </w:rPr>
        <w:t>仿真器采用了若干简化。它在完全可观测的二维几何环境中近似准静态树枝接触，没有考虑惯性、滞后和树枝之间的相互作用，也尚未依据真实植株进行标定。另一个问题是特征尺度：混合场景的刚度值包含1e6，而位置数值接近一。在开展完整训练之前，应当对特征进行归一化，或对刚度做变换，避免这一尺度差异主导网络输入。</w:t>
      </w:r>
    </w:p>
    <w:p>
      <w:pPr>
        <w:ind w:firstLine="480"/>
        <w:jc w:val="left"/>
      </w:pPr>
      <w:r>
        <w:rPr>
          <w:rFonts w:eastAsia="宋体"/>
        </w:rPr>
        <w:t>计划中的DQN与滚动时域规划对比尚未开展。目前的演示从固定样本集进行采样；经验回放训练、学习预热和epsilon-greedy探索率调度仍需实现。之后需要使用多个随机种子进行训练，在未参与训练的场景上评估，并改变执行噪声与接触参数。对比指标应包括成功、损伤、行程和决策计算成本。仅凭小批量损失下降，还不能说明策略能够有效完成果实采摘。</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936" w:right="1008" w:bottom="936" w:left="1008" w:header="317"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sz w:val="18"/>
      </w:rPr>
      <w:t xml:space="preserve">第18组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00" w:lineRule="auto" w:after="12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b/>
      <w:bCs/>
      <w:color w:val="000000"/>
      <w:sz w:val="28"/>
      <w:szCs w:val="28"/>
    </w:rPr>
  </w:style>
  <w:style w:type="character" w:customStyle="1" w:styleId="Heading2Char">
    <w:name w:val="Heading 2 Char"/>
    <w:basedOn w:val="DefaultParagraphFont"/>
    <w:link w:val="Heading2"/>
    <w:uiPriority w:val="9"/>
    <w:rsid w:val="00FC693F"/>
    <w:rPr>
      <w:rFonts/>
      <w:b/>
      <w:bCs/>
      <w:color w:val="000000"/>
      <w:sz w:val="26"/>
      <w:szCs w:val="26"/>
    </w:rPr>
  </w:style>
  <w:style w:type="character" w:customStyle="1" w:styleId="Heading3Char">
    <w:name w:val="Heading 3 Char"/>
    <w:basedOn w:val="DefaultParagraphFont"/>
    <w:link w:val="Heading3"/>
    <w:uiPriority w:val="9"/>
    <w:rsid w:val="00FC693F"/>
    <w:rPr>
      <w:rFonts/>
      <w:b/>
      <w:bCs/>
      <w:color w:val="000000"/>
    </w:rPr>
  </w:style>
  <w:style w:type="paragraph" w:styleId="Title">
    <w:name w:val="Title"/>
    <w:basedOn w:val="Normal"/>
    <w:next w:val="Normal"/>
    <w:link w:val="TitleChar"/>
    <w:uiPriority w:val="10"/>
    <w:qFormat/>
    <w:rsid w:val="00FC693F"/>
    <w:pPr>
      <w:keepNext/>
      <w:widowControl/>
      <w:spacing w:after="60" w:line="240" w:lineRule="auto"/>
      <w:contextualSpacing/>
    </w:pPr>
    <w:rPr>
      <w:rFonts w:ascii="Times New Roman" w:hAnsi="Times New Roman" w:eastAsia="黑体"/>
      <w:b/>
      <w:color w:val="000000"/>
      <w:spacing w:val="5"/>
      <w:kern w:val="28"/>
      <w:sz w:val="34"/>
      <w:szCs w:val="52"/>
    </w:rPr>
  </w:style>
  <w:style w:type="character" w:customStyle="1" w:styleId="TitleChar">
    <w:name w:val="Title Char"/>
    <w:basedOn w:val="DefaultParagraphFont"/>
    <w:link w:val="Title"/>
    <w:uiPriority w:val="10"/>
    <w:rsid w:val="00FC693F"/>
    <w:rPr>
      <w:rFonts/>
      <w:color w:val="000000"/>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00"/>
    </w:pPr>
    <w:rPr>
      <w:rFonts w:ascii="Times New Roman" w:hAnsi="Times New Roman" w:eastAsia="宋体"/>
      <w:i w:val="0"/>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000000"/>
    </w:rPr>
  </w:style>
  <w:style w:type="character" w:customStyle="1" w:styleId="Heading5Char">
    <w:name w:val="Heading 5 Char"/>
    <w:basedOn w:val="DefaultParagraphFont"/>
    <w:link w:val="Heading5"/>
    <w:uiPriority w:val="9"/>
    <w:semiHidden/>
    <w:rsid w:val="00FC693F"/>
    <w:rPr>
      <w:rFonts/>
      <w:color w:val="000000"/>
    </w:rPr>
  </w:style>
  <w:style w:type="character" w:customStyle="1" w:styleId="Heading6Char">
    <w:name w:val="Heading 6 Char"/>
    <w:basedOn w:val="DefaultParagraphFont"/>
    <w:link w:val="Heading6"/>
    <w:uiPriority w:val="9"/>
    <w:semiHidden/>
    <w:rsid w:val="00FC693F"/>
    <w:rPr>
      <w:rFonts/>
      <w:i/>
      <w:iCs/>
      <w:color w:val="000000"/>
    </w:rPr>
  </w:style>
  <w:style w:type="character" w:customStyle="1" w:styleId="Heading7Char">
    <w:name w:val="Heading 7 Char"/>
    <w:basedOn w:val="DefaultParagraphFont"/>
    <w:link w:val="Heading7"/>
    <w:uiPriority w:val="9"/>
    <w:semiHidden/>
    <w:rsid w:val="00FC693F"/>
    <w:rPr>
      <w:rFonts/>
      <w:i/>
      <w:iCs/>
      <w:color w:val="000000"/>
    </w:rPr>
  </w:style>
  <w:style w:type="character" w:customStyle="1" w:styleId="Heading8Char">
    <w:name w:val="Heading 8 Char"/>
    <w:basedOn w:val="DefaultParagraphFont"/>
    <w:link w:val="Heading8"/>
    <w:uiPriority w:val="9"/>
    <w:semiHidden/>
    <w:rsid w:val="00FC693F"/>
    <w:rPr>
      <w:rFonts/>
      <w:color w:val="000000"/>
      <w:sz w:val="20"/>
      <w:szCs w:val="20"/>
    </w:rPr>
  </w:style>
  <w:style w:type="character" w:customStyle="1" w:styleId="Heading9Char">
    <w:name w:val="Heading 9 Char"/>
    <w:basedOn w:val="DefaultParagraphFont"/>
    <w:link w:val="Heading9"/>
    <w:uiPriority w:val="9"/>
    <w:semiHidden/>
    <w:rsid w:val="00FC693F"/>
    <w:rPr>
      <w:rFonts/>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面向机器人采摘的神经网络设计</dc:title>
  <dc:subject>ME5418 第18组代码实现报告中文版</dc:subject>
  <dc:creator>Group 18</dc:creator>
  <cp:keywords>ME5418, DQN, robotic harvesting, neural network</cp:keywords>
  <dc:description>generated by python-docx</dc:description>
  <cp:lastModifiedBy>Group 18</cp:lastModifiedBy>
  <cp:revision>1</cp:revision>
  <dcterms:created xsi:type="dcterms:W3CDTF">2013-12-23T23:15:00Z</dcterms:created>
  <dcterms:modified xsi:type="dcterms:W3CDTF">2013-12-23T23:15:00Z</dcterms:modified>
  <cp:category/>
</cp:coreProperties>
</file>