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Kicker"/>
        <w:spacing w:after="70"/>
      </w:pPr>
      <w:r>
        <w:rPr>
          <w:rFonts w:ascii="Microsoft YaHei" w:hAnsi="Microsoft YaHei" w:eastAsia="Microsoft YaHei"/>
          <w:sz w:val="20"/>
          <w:szCs w:val="20"/>
          <w:b/>
          <w:color w:val="B7791F"/>
        </w:rPr>
        <w:t xml:space="preserve">修仙工厂｜系统玩法设计</w:t>
      </w:r>
    </w:p>
    <w:p>
      <w:pPr>
        <w:pStyle w:val="DocTitle"/>
        <w:spacing w:after="40"/>
      </w:pPr>
      <w:r>
        <w:rPr>
          <w:rFonts w:ascii="Microsoft YaHei" w:hAnsi="Microsoft YaHei" w:eastAsia="Microsoft YaHei"/>
          <w:sz w:val="56"/>
          <w:szCs w:val="56"/>
          <w:b/>
          <w:color w:val="0B2545"/>
        </w:rPr>
        <w:t xml:space="preserve">中央处理器玩法设计</w:t>
      </w:r>
    </w:p>
    <w:p>
      <w:pPr>
        <w:pStyle w:val="DocSubtitle"/>
        <w:spacing w:after="160"/>
      </w:pPr>
      <w:r>
        <w:rPr>
          <w:rFonts w:ascii="Microsoft YaHei" w:hAnsi="Microsoft YaHei" w:eastAsia="Microsoft YaHei"/>
          <w:sz w:val="28"/>
          <w:szCs w:val="28"/>
          <w:color w:val="52606D"/>
        </w:rPr>
        <w:t xml:space="preserve">当前版本：练气—筑基 Demo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600"/>
        <w:gridCol w:w="3000"/>
        <w:gridCol w:w="1600"/>
        <w:gridCol w:w="3160"/>
      </w:tblGrid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文档状态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正式版</w:t>
            </w:r>
          </w:p>
        </w:tc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适用范围</w:t>
            </w:r>
          </w:p>
        </w:tc>
        <w:tc>
          <w:tcPr>
            <w:tcW w:w="3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练气—筑基 Demo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核心对象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CPU_001 中央处理器</w:t>
            </w:r>
          </w:p>
        </w:tc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可建造对象</w:t>
            </w:r>
          </w:p>
        </w:tc>
        <w:tc>
          <w:tcPr>
            <w:tcW w:w="3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CPU_BASE_001 处理器扩展基座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当前开放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练气1个槽位 + 筑基1个槽位</w:t>
            </w:r>
          </w:p>
        </w:tc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暂不开放</w:t>
            </w:r>
          </w:p>
        </w:tc>
        <w:tc>
          <w:tcPr>
            <w:tcW w:w="3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6"/>
                <w:szCs w:val="19.6"/>
                <w:color w:val="1F2937"/>
              </w:rPr>
              <w:t xml:space="preserve">槽位3、槽位4及其模块</w:t>
            </w:r>
          </w:p>
        </w:tc>
      </w:tr>
    </w:tbl>
    <w:p>
      <w:pPr>
        <w:pStyle w:val="Normal"/>
        <w:spacing w:after="60"/>
      </w:pP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先看结论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玩家先修复并供电中央处理器，再用它解析遗体、解锁工厂权限和监控产线。处理器扩展基座是围绕 CPU 建造的实体设施；当前版本只开放两个模块槽位。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1. 玩家实际游玩流程</w:t>
      </w:r>
    </w:p>
    <w:p>
      <w:pPr>
        <w:pStyle w:val="Normal"/>
        <w:spacing w:after="90"/>
      </w:pPr>
      <w:r>
        <w:rPr>
          <w:rFonts w:ascii="Microsoft YaHei" w:hAnsi="Microsoft YaHei" w:eastAsia="Microsoft YaHei"/>
          <w:sz w:val="21.0"/>
          <w:szCs w:val="21.0"/>
          <w:color w:val="52606D"/>
        </w:rPr>
        <w:t xml:space="preserve">下面按玩家真正看到和操作的顺序写，不把剧情、建筑和资源拆成互相看不懂的独立概念。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720"/>
        <w:gridCol w:w="2650"/>
        <w:gridCol w:w="3250"/>
        <w:gridCol w:w="2740"/>
      </w:tblGrid>
      <w:tr>
        <w:trPr>
          <w:tblHeader/>
        </w:trP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步骤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玩家看到什么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玩家做什么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得到什么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1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休眠舱被两名金丹修士的战斗砸坏；两具遗体留在附近。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从休眠舱爬出，操控量产机器人观察现场。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确认自己是中央处理器的执行载体。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2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中央处理器仍有一小段自带电量。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调用内置解析功能，先扫描两具遗体。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得到世界解析报告、两条修士分支记录和研究入口。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3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解析完成后，CPU电量降到低功耗。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拆解休眠舱，把回收材料用于修复 CPU 接口和基础供电。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CPU恢复可运行，但还不能维持工厂。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4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附近能看到煤矿和可采集水源。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采煤、建风力/煤电和基础输送线，把电送回 CPU。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CPU进入正常供电，开放建筑建造与生产监控。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5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加工台、切割机、冶炼线逐步开放。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先做基础建筑材料，再搭建处理器扩展基座。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练气阶段开放槽位1：物流调度器。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6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物流调度台显示当前产线节点。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接入电网和冷却水，亲自完成分流、合流、限速和配平。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选定设备组获得稳定的物流等待减免。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7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进入筑基后，基座增加第二个槽位。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制造并安装炉温稳压器，接入煤炭、冷却水和电能。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可以调校冶炼设备组，为人造灵根路线供料。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8</w:t>
            </w:r>
          </w:p>
        </w:tc>
        <w:tc>
          <w:tcPr>
            <w:tcW w:w="26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工厂开始持续产出阶段物料。</w:t>
            </w:r>
          </w:p>
        </w:tc>
        <w:tc>
          <w:tcPr>
            <w:tcW w:w="3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把合格物料批量送入造化金身，不把金身当成 CPU 配方。</w:t>
            </w:r>
          </w:p>
        </w:tc>
        <w:tc>
          <w:tcPr>
            <w:tcW w:w="27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3"/>
                <w:szCs w:val="17.3"/>
                <w:color w:val="1F2937"/>
              </w:rPr>
              <w:t xml:space="preserve">最后把20个人造灵根原型批量装入造化金身，完成 Demo 目标。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Demo主线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一眼看懂：休眠舱 → CPU解析遗体 → 拆舱修复 → 煤电供电 → 基础加工 → 扩展基座 → 两个模块逐步调校 → 人造灵根原型批量生产 → 造化金身验收×20。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2. 这几个东西分别负责什么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对象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玩家理解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明确不做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中央处理器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玩家本体、遗体解析、研究权限、全厂监控和地图扫描。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不进传送带，不替代加工建筑，不直接生产普通物料。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机器人载体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玩家当前操作的移动、战斗、采集、建造和交互端。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不是第二个中央处理器；载体损坏不删除 CPU。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处理器扩展基座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围绕 CPU 建造的设施，提供槽位、操作台和运行供给接口。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不是新 CPU，不承担金身大宗交付。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造化金身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Demo最终奇观，单独建造并接收大宗物料。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不占 CPU 槽位，不做日常研究，不替代生产线。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人造灵根原型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可重复生产的筑基中间件，也是造化金身的最终批量交付物。</w:t>
            </w:r>
          </w:p>
        </w:tc>
        <w:tc>
          <w:tcPr>
            <w:tcW w:w="27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不是 CPU 槽位物料；Demo 按20个批量提交，不是单件剧情道具。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 中央处理器与扩展基座需要的资源</w:t>
      </w:r>
    </w:p>
    <w:p>
      <w:pPr>
        <w:pStyle w:val="Normal"/>
        <w:spacing w:after="80"/>
      </w:pPr>
      <w:r>
        <w:rPr>
          <w:rFonts w:ascii="Microsoft YaHei" w:hAnsi="Microsoft YaHei" w:eastAsia="Microsoft YaHei"/>
          <w:sz w:val="21.0"/>
          <w:szCs w:val="21.0"/>
          <w:color w:val="52606D"/>
        </w:rPr>
        <w:t xml:space="preserve">先把“谁消耗什么”写死，避免玩家和程序把 CPU、基座、模块混成一台机器。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700"/>
        <w:gridCol w:w="3850"/>
        <w:gridCol w:w="1900"/>
        <w:gridCol w:w="1910"/>
      </w:tblGrid>
      <w:tr>
        <w:trPr>
          <w:tblHeader/>
        </w:trP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对象 / 阶段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资源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输入方式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用途与结果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CPU_001 初始启动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自带残余电量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CPU内部，不进物流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只够完成首次现场扫描和遗体解析；之后进入低功耗。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修复 CPU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休眠舱回收材料 + 电源模块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玩家背包建造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恢复接口、研究和监控权限；不是一次性消耗品。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扩展基座建造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玄铁板×80 + 玄铁梁×40 + 设备框架×20 + 基础控制模块×10 + 电源模块×4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玩家建造菜单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围绕 CPU 建造 CPU_BASE_001；不生成新的中央处理器。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基座持续运行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电能 20电/s + 冷却水 1单位/分钟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电网接入 + 液体输入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维持槽位、操作台、监控和缓冲；断供后进入待供给。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槽位1：物流调度器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设备框架×10 + 基础控制模块×4 + 设备传动件×8 + 电子生物芯片×2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安装到 SLOT_01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安装后可重复拆卸、维修和换装，不会变成一次性道具。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槽位2：炉温稳压器</w:t>
            </w:r>
          </w:p>
        </w:tc>
        <w:tc>
          <w:tcPr>
            <w:tcW w:w="38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设备框架×12 + 耐火炉芯×4 + 导电线圈×4 + 生物蛋白滤芯×4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安装到 SLOT_02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1"/>
                <w:szCs w:val="17.1"/>
                <w:color w:val="1F2937"/>
              </w:rPr>
              <w:t xml:space="preserve">筑基阶段使用；服务精炼炉、冶炼舱和高温加工。</w:t>
            </w:r>
          </w:p>
        </w:tc>
      </w:tr>
    </w:tbl>
    <w:p>
      <w:r>
        <w:br w:type="page"/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3.1 运行中的额外消耗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900"/>
        <w:gridCol w:w="2600"/>
        <w:gridCol w:w="2600"/>
        <w:gridCol w:w="2260"/>
      </w:tblGrid>
      <w:tr>
        <w:trPr>
          <w:tblHeader/>
        </w:trP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模块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持续资源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操作资源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断供结果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物流调度器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电能 + 冷却水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每次完整校准消耗电子生物芯片×1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增益停止，产线恢复原物流节拍。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炉温稳压器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电能 + 煤炭 + 冷却水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维修时消耗设备控制插件×1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模块降回稳定状态；普通冶炼不被直接摧毁。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CPU监控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电能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无实体物料消耗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只显示电网、缺料、堵塞、煞气值和设备停机原因。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 槽位解锁：当前版本只开放两个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版本边界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练气只解锁1个槽位；筑基再解锁1个槽位。槽位3、槽位4属于下个版本，当前版本不开放、不显示、不写入可用配方。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2450"/>
        <w:gridCol w:w="3200"/>
        <w:gridCol w:w="2210"/>
      </w:tblGrid>
      <w:tr>
        <w:trPr>
          <w:tblHeader/>
        </w:trP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阶段</w:t>
            </w:r>
          </w:p>
        </w:tc>
        <w:tc>
          <w:tcPr>
            <w:tcW w:w="2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开放内容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玩家操作</w:t>
            </w:r>
          </w:p>
        </w:tc>
        <w:tc>
          <w:tcPr>
            <w:tcW w:w="22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对产线的实际帮助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练气5</w:t>
            </w:r>
          </w:p>
        </w:tc>
        <w:tc>
          <w:tcPr>
            <w:tcW w:w="2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SLOT_01 + 物流调度器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做配线小游戏：分流、合流、限速，控制节点流量误差。</w:t>
            </w:r>
          </w:p>
        </w:tc>
        <w:tc>
          <w:tcPr>
            <w:tcW w:w="22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选定设备组物流等待时间减少10%；优化后减少20%，不突破建筑接口上限。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筑基3</w:t>
            </w:r>
          </w:p>
        </w:tc>
        <w:tc>
          <w:tcPr>
            <w:tcW w:w="2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SLOT_02 + 炉温稳压器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做炉温小游戏：调热载阀、冷却阀和泄压阀，把温差压回安全区。</w:t>
            </w:r>
          </w:p>
        </w:tc>
        <w:tc>
          <w:tcPr>
            <w:tcW w:w="22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冶炼设备周期缩短10%—15%，同步增加电能和煤炭压力。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下个版本</w:t>
            </w:r>
          </w:p>
        </w:tc>
        <w:tc>
          <w:tcPr>
            <w:tcW w:w="2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SLOT_03、SLOT_04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当前不提供模块名称、配方和玩法。</w:t>
            </w:r>
          </w:p>
        </w:tc>
        <w:tc>
          <w:tcPr>
            <w:tcW w:w="22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不影响本 Demo 的人造灵根和金身流程。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4.1 中央处理器提交：练气阶段</w:t>
      </w:r>
    </w:p>
    <w:tbl>
      <w:tblPr>
        <w:tblW w:w="98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200"/>
        <w:gridCol w:w="6500"/>
        <w:gridCol w:w="2160"/>
      </w:tblGrid>
      <w:tr>
        <w:trPr>
          <w:tblHeader/>
        </w:trP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阶段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提交物（固定数量）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完成后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练气1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玄铁锭×100；赤铜锭×100；玄铁板×100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解锁练气2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练气2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玄铁粉×100；灵磁齿轮×60；设备框架×30；设备管件×30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解锁练气3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练气3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导灵铜片×100；导电线圈×40；基础控制模块×40；木结构件×40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解锁练气4；开放金身基座塑造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练气4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鲜活生物组织×60；神经束×40；脱水生物组织×40；生物蛋白滤芯×30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解锁练气5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练气5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电子生物芯片×30；成熟灵草×60；活性细胞团×30；生物控制芯×20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解锁练气6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练气6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设备接口件×30；循环水泵×20；设备框架×60；生物蛋白滤芯×40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8"/>
                <w:szCs w:val="16.8"/>
                <w:color w:val="1F2937"/>
              </w:rPr>
              <w:t xml:space="preserve">开放金身骨架塑造，进入筑基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4.2 中央处理器提交：筑基阶段</w:t>
      </w:r>
    </w:p>
    <w:tbl>
      <w:tblPr>
        <w:tblW w:w="98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200"/>
        <w:gridCol w:w="6500"/>
        <w:gridCol w:w="2160"/>
      </w:tblGrid>
      <w:tr>
        <w:trPr>
          <w:tblHeader/>
        </w:trP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阶段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提交物（固定数量）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完成后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筑基1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精炼玄铁锭×120；高温合金锭×60；设备框架×60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解锁筑基2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筑基2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生物胚料×50；生物复合板×30；高温合金锭×60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解锁筑基3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筑基3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电能核心×30；生物复合板×40；电子生物芯片×40；高温合金锭×80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解锁筑基4；开放金身经络塑造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筑基4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净化滤芯组×40；通用净化核心×20；设备控制插件×20；净化残渣×40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解锁筑基5；开放废液与煞气支线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筑基5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灵根芯材×10；动力核心×10；主控核心×10；设备控制插件×20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解锁筑基6</w:t>
            </w:r>
          </w:p>
        </w:tc>
      </w:tr>
      <w:tr>
        <w:tc>
          <w:tcPr>
            <w:tcW w:w="1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筑基6</w:t>
            </w:r>
          </w:p>
        </w:tc>
        <w:tc>
          <w:tcPr>
            <w:tcW w:w="6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灵根胚体×5；动力核心×20；主控核心×20；通用净化核心×20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7"/>
                <w:szCs w:val="16.7"/>
                <w:color w:val="1F2937"/>
              </w:rPr>
              <w:t xml:space="preserve">解锁人造灵根原型配方；进入金身批量塑造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  <w:sz w:val="20.0"/>
          <w:szCs w:val="20.0"/>
          <w:i/>
          <w:color w:val="52606D"/>
        </w:rPr>
        <w:t xml:space="preserve">中央处理器提交是手动认证的小批量节点；造化金身提交是物流供料的大批量节点，两者不共用提交界面。</w:t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 当前两个模块怎么玩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900"/>
        <w:gridCol w:w="3800"/>
        <w:gridCol w:w="2300"/>
        <w:gridCol w:w="1360"/>
      </w:tblGrid>
      <w:tr>
        <w:trPr>
          <w:tblHeader/>
        </w:trP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模块</w:t>
            </w:r>
          </w:p>
        </w:tc>
        <w:tc>
          <w:tcPr>
            <w:tcW w:w="3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进入操作台后做什么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成功状态</w:t>
            </w:r>
          </w:p>
        </w:tc>
        <w:tc>
          <w:tcPr>
            <w:tcW w:w="13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失败和恢复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物流调度器</w:t>
            </w:r>
          </w:p>
        </w:tc>
        <w:tc>
          <w:tcPr>
            <w:tcW w:w="3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把进料、加工、出料节点接到唯一主输出；每个节点按标注吞吐量分流，不允许堵塞或空转。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流量误差≤5%，持续15秒：选中设备组物流等待-20%，有效吞吐+15%。</w:t>
            </w:r>
          </w:p>
        </w:tc>
        <w:tc>
          <w:tcPr>
            <w:tcW w:w="13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只取消本模块增益并重置30秒；重新配线即可恢复。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炉温稳压器</w:t>
            </w:r>
          </w:p>
        </w:tc>
        <w:tc>
          <w:tcPr>
            <w:tcW w:w="3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观察热负荷针和冷却针，调整热载阀、冷却阀、泄压阀，让温差回到安全区。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温差≤8，持续30秒：设备组周期-15%，额外耗电+20%。</w:t>
            </w:r>
          </w:p>
        </w:tc>
        <w:tc>
          <w:tcPr>
            <w:tcW w:w="13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模块过热并挂起60秒；恢复煤炭、冷却水后继续。</w:t>
            </w:r>
          </w:p>
        </w:tc>
      </w:tr>
    </w:tbl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所有收益只改变周期、等待和负荷容差，不修改配方投入产出，不随机双倍，不免费生成物料。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模块可以拆卸、更换、维修和再次安装；安装不会消耗模块本体。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同一时间只操作一个控制台；玩家离开检修范围，界面自动收起。</w:t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6. 造化金身放在哪里，和 CPU 怎么连接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环节</w:t>
            </w:r>
          </w:p>
        </w:tc>
        <w:tc>
          <w:tcPr>
            <w:tcW w:w="5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正式定义</w:t>
            </w:r>
          </w:p>
        </w:tc>
        <w:tc>
          <w:tcPr>
            <w:tcW w:w="26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玩家看到的结果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位置</w:t>
            </w:r>
          </w:p>
        </w:tc>
        <w:tc>
          <w:tcPr>
            <w:tcW w:w="5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造化金身是地图上的独立奇观/大型建筑，不放入中央处理器槽位。</w:t>
            </w:r>
          </w:p>
        </w:tc>
        <w:tc>
          <w:tcPr>
            <w:tcW w:w="26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玩家在基地外或专用区域建造、扩建和交付。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物料来源</w:t>
            </w:r>
          </w:p>
        </w:tc>
        <w:tc>
          <w:tcPr>
            <w:tcW w:w="5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人造灵根原型及其前置物料都由普通工厂产线重复加工出来。</w:t>
            </w:r>
          </w:p>
        </w:tc>
        <w:tc>
          <w:tcPr>
            <w:tcW w:w="26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传送带、箱子或物流建筑把大宗物料送到金身交付口。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CPU作用</w:t>
            </w:r>
          </w:p>
        </w:tc>
        <w:tc>
          <w:tcPr>
            <w:tcW w:w="5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中央处理器只负责阶段认证、配方权限、交付检查和状态提示。</w:t>
            </w:r>
          </w:p>
        </w:tc>
        <w:tc>
          <w:tcPr>
            <w:tcW w:w="26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CPU告诉玩家还缺什么，但不替金身加工。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Demo终点</w:t>
            </w:r>
          </w:p>
        </w:tc>
        <w:tc>
          <w:tcPr>
            <w:tcW w:w="5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完成造化金身主体、完成筑基认证，并把人造灵根原型×20批量装入金身核心位。</w:t>
            </w:r>
          </w:p>
        </w:tc>
        <w:tc>
          <w:tcPr>
            <w:tcW w:w="26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金身启动，作为 Demo 的明确结尾；CPU继续保留为玩家本体。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6.1 造化金身批量提交数量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批量交付规则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人造灵根原型不是单件终局物料：灵根胚体 + 主控核心 + 组织精华液 → 人造灵根原型（可重复生产）；沿用现有组装机的2个固体口和1个高级液体口；筑基6后造化金身一次验收人造灵根原型×20。工厂必须持续生产，直到整批交付完成。</w:t>
            </w:r>
          </w:p>
        </w:tc>
      </w:tr>
    </w:tbl>
    <w:tbl>
      <w:tblPr>
        <w:tblW w:w="1081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1800"/>
        <w:gridCol w:w="3900"/>
        <w:gridCol w:w="1500"/>
        <w:gridCol w:w="2110"/>
      </w:tblGrid>
      <w:tr>
        <w:trPr>
          <w:tblHeader/>
        </w:trP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塑造阶段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开放节点</w:t>
            </w:r>
          </w:p>
        </w:tc>
        <w:tc>
          <w:tcPr>
            <w:tcW w:w="3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批量提交物（固定数量）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规模 / 时间</w:t>
            </w:r>
          </w:p>
        </w:tc>
        <w:tc>
          <w:tcPr>
            <w:tcW w:w="2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完成结果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第一阶段：基座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练气3认证后</w:t>
            </w:r>
          </w:p>
        </w:tc>
        <w:tc>
          <w:tcPr>
            <w:tcW w:w="3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玄铁板×300；玄铁梁×100；木结构件×100；设备框架×50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总量550；约30分钟</w:t>
            </w:r>
          </w:p>
        </w:tc>
        <w:tc>
          <w:tcPr>
            <w:tcW w:w="2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固定奇观位置，开放后续塑造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第二阶段：骨架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练气6认证后</w:t>
            </w:r>
          </w:p>
        </w:tc>
        <w:tc>
          <w:tcPr>
            <w:tcW w:w="3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设备框架×100；设备接口件×80；电子生物芯片×40；生物蛋白滤芯×60；组织精华液×60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固体280 + 液体60；约40分钟</w:t>
            </w:r>
          </w:p>
        </w:tc>
        <w:tc>
          <w:tcPr>
            <w:tcW w:w="2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完成练气阶段产能验收，进入筑基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第三阶段：经络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筑基3认证后</w:t>
            </w:r>
          </w:p>
        </w:tc>
        <w:tc>
          <w:tcPr>
            <w:tcW w:w="3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精炼玄铁锭×240；高温合金锭×120；电能核心×40；生物复合板×60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总量460；约45分钟</w:t>
            </w:r>
          </w:p>
        </w:tc>
        <w:tc>
          <w:tcPr>
            <w:tcW w:w="2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金身获得供能和控制接口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第四阶段：初启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筑基6认证后</w:t>
            </w:r>
          </w:p>
        </w:tc>
        <w:tc>
          <w:tcPr>
            <w:tcW w:w="3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高温合金锭×200；动力核心×20；主控核心×20；通用净化核心×30；人造灵根原型×20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总量290；终配单机最低40分钟（20×120秒，不含上游）</w:t>
            </w:r>
          </w:p>
        </w:tc>
        <w:tc>
          <w:tcPr>
            <w:tcW w:w="2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6.4"/>
                <w:szCs w:val="16.4"/>
                <w:color w:val="1F2937"/>
              </w:rPr>
              <w:t xml:space="preserve">造化金身完成批量验收并初次启动，Demo结束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金身接口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关系只有一句：工厂负责持续生产，中央处理器负责认证和提示，造化金身负责接收最终大宗物料；人造灵根原型由工厂重复产出，20个人造灵根原型再批量装进造化金身，不装进 CPU。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7. 配方与玩法总览（只看这一段也能懂）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起点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经过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终点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两具遗体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中央处理器内置解析 → 研究报告 → 阶段权限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玩家知道世界规则，CPU获得研究入口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休眠舱回收材料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电源模块/基础控制模块 → 修复 CPU → 接入煤电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中央处理器从低功耗恢复正常运行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煤矿 + 水源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煤电/风电 → 加工台 → 切割机/冶炼线 → 基础建筑材料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建成基础工厂和处理器扩展基座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扩展基座材料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练气安装物流调度器 → 配平物流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物流稳定，支持前置加工链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筑基材料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安装炉温稳压器 → 煤炭 + 冷却水 + 电能 → 稳定高温加工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支持人造灵根前置物料生产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工厂产出</w:t>
            </w:r>
          </w:p>
        </w:tc>
        <w:tc>
          <w:tcPr>
            <w:tcW w:w="5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阶段认证 → 人造灵根原型重复生产 → 造化金身批量交付×20</w:t>
            </w:r>
          </w:p>
        </w:tc>
        <w:tc>
          <w:tcPr>
            <w:tcW w:w="2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完成 Demo 目标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8. 给程序、美术和 UI 的固定信息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800"/>
        <w:gridCol w:w="3100"/>
        <w:gridCol w:w="4460"/>
      </w:tblGrid>
      <w:tr>
        <w:trPr>
          <w:tblHeader/>
        </w:trP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对象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固定ID / 名称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必须实现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中央处理器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CPU_001 / 中央处理器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玩家本体；无普通物流输入输出；记录解析、研究、监控和地图扫描状态。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扩展基座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CPU_BASE_001 / 处理器扩展基座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支持后续扩展，但当前只激活 SLOT_01、SLOT_02；电能×1、固体1煤炭、固体2芯片/插件、液体×1。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当前模块1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CPU_MOD_001 / 物流调度器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练气5开放；青色线路、分流节点、物流配线台；可拆卸复用。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当前模块2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CPU_MOD_002 / 炉温稳压器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筑基3开放；热载仓、冷却管、炉温配平台；可拆卸复用。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金身建筑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GOLD_BODY_001 / 造化金身</w:t>
            </w:r>
          </w:p>
        </w:tc>
        <w:tc>
          <w:tcPr>
            <w:tcW w:w="4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独立奇观；接收批量物料、显示阶段状态、安装人造灵根原型×20；不占 CPU 槽位。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8.1 当前版本验收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玩家前五分钟能理解：CPU是自己，机器人是身体，CPU需要外部供电。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玩家第一次解析遗体不需要额外寻找解锁建筑；CPU自带解析功能。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练气只出现一个可用槽位；筑基只增加一个可用槽位；槽位3、4不出现在当前版本。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CPU、扩展基座、普通加工建筑、造化金身四者的资源和职责不混淆。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金身、人造灵根原型和阶段认证在总流程中有明确位置，不能被 CPU 配方吞掉。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所有模块都是可复用设备；运行只消耗电能、煤炭、冷却水和已有维护物料。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正式版结论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最终可读结论：玩家先修复自己，再用自己解析世界；然后用工厂制造扩展基座和两个模块，亲手把物流、炉温和供给调稳定，持续生产20个人造灵根原型，最后整批送进造化金身。</w:t>
            </w:r>
          </w:p>
        </w:tc>
      </w:tr>
    </w:tbl>
    <w:sectPr xmlns:w="http://schemas.openxmlformats.org/wordprocessingml/2006/main">
      <w:pgSz w:w="12240" w:h="15840"/>
      <w:pgMar w:top="1440" w:right="1440" w:bottom="1440" w:left="1440" w:header="708" w:footer="708" w:gutter="0"/>
      <w:cols w:num="1"/>
      <w:docGrid w:linePitch="360"/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Microsoft YaHei" w:hAnsi="Microsoft YaHei" w:eastAsia="Microsoft YaHei"/>
        <w:sz w:val="18"/>
        <w:szCs w:val="18"/>
        <w:color w:val="718096"/>
      </w:rPr>
      <w:t xml:space="preserve">正式玩法稿 · V2.2  |  </w:t>
    </w:r>
    <w:fldSimple w:instr="PAGE">
      <w:r>
        <w:rPr>
          <w:rFonts w:ascii="Microsoft YaHei" w:hAnsi="Microsoft YaHei" w:eastAsia="Microsoft YaHei"/>
          <w:sz w:val="18"/>
          <w:szCs w:val="18"/>
          <w:color w:val="718096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Microsoft YaHei" w:hAnsi="Microsoft YaHei" w:eastAsia="Microsoft YaHei"/>
        <w:sz w:val="18"/>
        <w:szCs w:val="18"/>
        <w:color w:val="718096"/>
      </w:rPr>
      <w:t xml:space="preserve">修仙工厂｜中央处理器玩法设计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Microsoft YaHei" w:hAnsi="Microsoft YaHei" w:eastAsia="Microsoft YaHei"/>
      <w:sz w:val="22"/>
    </w:rPr>
    <w:pPr>
      <w:spacing w:after="120" w:line="300" w:lineRule="auto"/>
    </w:pPr>
  </w:style>
  <w:style w:type="paragraph" w:styleId="DocTitle">
    <w:name w:val="DocTitle"/>
    <w:basedOn w:val="Normal"/>
    <w:pPr>
      <w:spacing w:before="0" w:after="50"/>
    </w:pPr>
    <w:rPr>
      <w:rFonts w:ascii="Microsoft YaHei" w:hAnsi="Microsoft YaHei" w:eastAsia="Microsoft YaHei"/>
      <w:b/>
      <w:sz w:val="56"/>
      <w:color w:val="0B2545"/>
    </w:rPr>
  </w:style>
  <w:style w:type="paragraph" w:styleId="DocSubtitle">
    <w:name w:val="DocSubtitle"/>
    <w:basedOn w:val="Normal"/>
    <w:pPr>
      <w:spacing w:after="260"/>
    </w:pPr>
    <w:rPr>
      <w:rFonts w:ascii="Microsoft YaHei" w:hAnsi="Microsoft YaHei" w:eastAsia="Microsoft YaHei"/>
      <w:sz w:val="28"/>
      <w:color w:val="52606D"/>
    </w:rPr>
  </w:style>
  <w:style w:type="paragraph" w:styleId="Kicker">
    <w:name w:val="Kicker"/>
    <w:basedOn w:val="Normal"/>
    <w:rPr>
      <w:rFonts w:ascii="Microsoft YaHei" w:hAnsi="Microsoft YaHei" w:eastAsia="Microsoft YaHei"/>
      <w:b/>
      <w:sz w:val="20"/>
      <w:color w:val="B7791F"/>
    </w:rPr>
  </w:style>
  <w:style w:type="paragraph" w:styleId="Heading1">
    <w:name w:val="Heading 1"/>
    <w:basedOn w:val="Normal"/>
    <w:next w:val="Normal"/>
    <w:pPr>
      <w:keepNext/>
      <w:spacing w:before="280" w:after="120" w:line="300" w:lineRule="auto"/>
    </w:pPr>
    <w:rPr>
      <w:rFonts w:ascii="Microsoft YaHei" w:hAnsi="Microsoft YaHei" w:eastAsia="Microsoft YaHei"/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20" w:after="80" w:line="300" w:lineRule="auto"/>
    </w:pPr>
    <w:rPr>
      <w:rFonts w:ascii="Microsoft YaHei" w:hAnsi="Microsoft YaHei" w:eastAsia="Microsoft YaHei"/>
      <w:b/>
      <w:sz w:val="26"/>
      <w:color w:val="2E74B5"/>
    </w:rPr>
  </w:style>
  <w:style w:type="paragraph" w:styleId="Heading3">
    <w:name w:val="Heading 3"/>
    <w:basedOn w:val="Normal"/>
    <w:next w:val="Normal"/>
    <w:pPr>
      <w:keepNext/>
      <w:spacing w:before="160" w:after="60"/>
    </w:pPr>
    <w:rPr>
      <w:rFonts w:ascii="Microsoft YaHei" w:hAnsi="Microsoft YaHei" w:eastAsia="Microsoft YaHei"/>
      <w:b/>
      <w:sz w:val="24"/>
      <w:color w:val="1F4D78"/>
    </w:rPr>
  </w:style>
  <w:style w:type="paragraph" w:styleId="TableText">
    <w:name w:val="Table Text"/>
    <w:basedOn w:val="Normal"/>
    <w:pPr>
      <w:spacing w:before="0" w:after="0" w:line="260" w:lineRule="auto"/>
    </w:pPr>
    <w:rPr>
      <w:rFonts w:ascii="Microsoft YaHei" w:hAnsi="Microsoft YaHei" w:eastAsia="Microsoft YaHei"/>
      <w:sz w:val="19"/>
    </w:rPr>
  </w:style>
  <w:style w:type="paragraph" w:styleId="ListBullet">
    <w:name w:val="List Bullet"/>
    <w:basedOn w:val="Normal"/>
    <w:pPr>
      <w:ind w:left="540" w:hanging="270"/>
      <w:spacing w:after="70" w:line="280" w:lineRule="auto"/>
    </w:pPr>
  </w:style>
  <w:style w:type="paragraph" w:styleId="ListNumber">
    <w:name w:val="List Number"/>
    <w:basedOn w:val="Normal"/>
    <w:pPr>
      <w:ind w:left="540" w:hanging="270"/>
      <w:spacing w:after="70" w:line="280" w:lineRule="auto"/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>修仙工厂</Company>
  <AppVersion>2.2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中央处理器玩法设计</dc:title>
  <dc:subject>修仙工厂中央处理器玩法设计</dc:subject>
  <dc:creator>策划团队</dc:creator>
  <cp:lastModifiedBy>策划团队</cp:lastModifiedBy>
  <dcterms:created xmlns:dcterms="http://purl.org/dc/terms/" xmlns:xsi="http://www.w3.org/2001/XMLSchema-instance" xsi:type="dcterms:W3CDTF">2026-09-22T16:59:02.790355+00:00</dcterms:created>
</cp:coreProperties>
</file>