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</w:pPr>
      <w:r>
        <w:rPr>
          <w:rFonts w:ascii="Calibri" w:hAnsi="Calibri" w:eastAsia="Microsoft YaHei"/>
          <w:b/>
          <w:i w:val="0"/>
          <w:color w:val="17365D"/>
          <w:sz w:val="46"/>
        </w:rPr>
        <w:t>修仙工厂策划案 V1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2E74B5"/>
          <w:sz w:val="30"/>
        </w:rPr>
        <w:t>玩家体验与美术制作槽点评估报告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7365D"/>
          <w:sz w:val="21"/>
        </w:rPr>
        <w:t>评审对象：</w:t>
      </w:r>
      <w:r>
        <w:rPr>
          <w:rFonts w:ascii="Calibri" w:hAnsi="Calibri" w:eastAsia="Microsoft YaHei"/>
          <w:b w:val="0"/>
          <w:i w:val="0"/>
          <w:color w:val="1F2937"/>
          <w:sz w:val="21"/>
        </w:rPr>
        <w:t>策划案_V1_正式版.xlsx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7365D"/>
          <w:sz w:val="21"/>
        </w:rPr>
        <w:t>覆盖范围：</w:t>
      </w:r>
      <w:r>
        <w:rPr>
          <w:rFonts w:ascii="Calibri" w:hAnsi="Calibri" w:eastAsia="Microsoft YaHei"/>
          <w:b w:val="0"/>
          <w:i w:val="0"/>
          <w:color w:val="1F2937"/>
          <w:sz w:val="21"/>
        </w:rPr>
        <w:t>练气 → 筑基 Demo；人造灵根原型、中央处理器、造化金身、山河社稷图支线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7365D"/>
          <w:sz w:val="21"/>
        </w:rPr>
        <w:t>检查口径：</w:t>
      </w:r>
      <w:r>
        <w:rPr>
          <w:rFonts w:ascii="Calibri" w:hAnsi="Calibri" w:eastAsia="Microsoft YaHei"/>
          <w:b w:val="0"/>
          <w:i w:val="0"/>
          <w:color w:val="1F2937"/>
          <w:sz w:val="21"/>
        </w:rPr>
        <w:t>玩家首次游玩理解成本、产线可玩性、美术资产可制作性、程序数据可落地性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17365D"/>
          <w:sz w:val="21"/>
        </w:rPr>
        <w:t>本轮结论：</w:t>
      </w:r>
      <w:r>
        <w:rPr>
          <w:rFonts w:ascii="Calibri" w:hAnsi="Calibri" w:eastAsia="Microsoft YaHei"/>
          <w:b w:val="0"/>
          <w:i w:val="0"/>
          <w:color w:val="1F2937"/>
          <w:sz w:val="21"/>
        </w:rPr>
        <w:t>主线已形成，但仍有1个明确配方冲突、44个建筑缺少模型资产键，以及双提交系统的UI/程序落地风险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C27A"/>
          <w:left w:val="single" w:sz="8" w:space="0" w:color="D8C27A"/>
          <w:bottom w:val="single" w:sz="8" w:space="0" w:color="D8C27A"/>
          <w:right w:val="single" w:sz="8" w:space="0" w:color="D8C27A"/>
          <w:insideH w:val="single" w:sz="8" w:space="0" w:color="D8C27A"/>
          <w:insideV w:val="single" w:sz="8" w:space="0" w:color="D8C27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C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7A5A00"/>
                <w:sz w:val="21"/>
              </w:rPr>
              <w:t xml:space="preserve">先说结论：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这份策划案不是产线完全不成立，而是“设计主线已经能跑，交付给玩家、程序和美术时还会出现几处明显追问”。必须先处理的是耐火炉芯配方文字冲突、模型资产键缺口、中央处理器与造化金身的双提交表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一、已通过的基础检查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550"/>
        <w:gridCol w:w="1250"/>
        <w:gridCol w:w="656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检查项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结果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建筑数据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通过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56条建筑记录，建筑ID无重复；旧灯光楼梯、木质楼梯、旧底座、旧桌子名称已清除。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物料数据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通过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73个物料ID，无重复；人造灵根原型×20、造化金身阶段数量已写入物料用量。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中央处理器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已对齐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修复消耗、解析数据×8、逐层研究认证和配方解锁已出现在流程与主表。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造化金身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已对齐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基座、骨架、经络、终局四段数量已同步到总结、金身方案、物料用量和游戏流程。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流体处理中枢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逻辑已对齐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搅拌机、离心机、提取器挂载于BD_158，Demo不接入气体。</w:t>
            </w:r>
          </w:p>
        </w:tc>
      </w:tr>
      <w:tr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公式/引用</w:t>
            </w:r>
          </w:p>
        </w:tc>
        <w:tc>
          <w:tcPr>
            <w:tcW w:type="dxa" w:w="125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通过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当前正式版公式错误扫描为0。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二、玩家会吐槽的地方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以下问题不是单纯的文字润色，而是玩家在第一次游玩时会停下来问“我现在到底该做什么”“为什么这东西不能用”“为什么同一个物品有两个数量”的位置。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650"/>
        <w:gridCol w:w="800"/>
        <w:gridCol w:w="1700"/>
        <w:gridCol w:w="3150"/>
        <w:gridCol w:w="30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编号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等级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玩家槽点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为什么会吐槽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建议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P-01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中央处理器 vs 造化金身双提交容易混淆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总结和金身方案已经区分“研究认证”和“批量供料”，但玩家仍可能把研究点、里程碑物料、金身物料当成同一个提交界面。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UI明确拆成“研究认证”和“金身供料”两个页签；前者显示研究点/解锁，后者显示传送带、水管和实体进度。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P-02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耐火炉芯配方出现冲突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游戏流程第26步写成“玄铁粉×2+玄铁板×1”；建筑表和物料表正式配方是启动“玄铁板×4+玄铁齿轮×1”、自动“玄铁板×4+玄铁粉×2”。玩家照流程做会发现数量对不上。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只保留一套正式口径，建议以物料表为准，并同步游戏流程、教程提示和配方UI。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P-03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单批×1与终局×20容易被误认为冲突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组装机单批产出人造灵根原型×1/120秒，但筑基6要提交×20；主表已补充最终量，流程必须始终标出“单批产量”和“最终提交量”。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配方卡固定显示“单批：×1/120秒；阶段目标：×20；预计生产时间：40分钟（不含上游）”。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P-04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开场信息量很大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双金丹冲突、休眠舱拆解、中央处理器修复、两具遗体、核辐射修仙、剑匣、法宝残卷、煤炭供电连续出现。世界观有吸引力，但第一次游玩可能记不住任务优先级。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强制任务只保留三步：修复核心→恢复供电→解析遗体；剑匣和山河残卷在任务完成后再作为奖励提示。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P-05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废液在筑基4前可能造成停线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提取器会产生生物浑浊废液，回收处理塔在筑基4才正式开放；当前有6格缓存，但玩家可能不知道满仓会停机。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在提取器、搅拌机和废液缓存上显示“剩余容量/预计停机时间”，并在练气阶段提前给出废液处理预告。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P-06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生物材料依赖战斗掉落，可能出现断料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当前版本不养殖，练气/筑基尸体是鲜活组织、神经束、脱水组织的可重复来源；如果玩家战斗掉落不足，芯片和滤芯线会停。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为每种境界设置最低保底掉落或掉落进度条，并在解构机预览中显示“本批可支撑多少芯片/滤芯”。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P-07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木材同时是建材、燃料和木炭灰来源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原木→木板→木结构件，同时又能进燃料发电机并产生木炭灰；玩家可能把建造库存烧掉，后续反而缺木结构件。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燃料投入口增加“保留建造库存”开关；木材首次分流时明确显示建材优先级。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P-08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山河社稷图功能强，但可选支线的边界要说清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法宝可以把已扫描矿脉移动到基地附近，且不复制资源；玩家如果看不到“只改变节点位置”的限制，容易认为是复制资源或瞬移整座矿。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地图预览显示原位置、目标位置、冷却时间和资源总量不变；支线入口明确标记“可选，不影响人造灵根主线”。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P-09</w:t>
            </w:r>
          </w:p>
        </w:tc>
        <w:tc>
          <w:tcPr>
            <w:tcW w:type="dxa" w:w="800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工业名词和修仙名词跳跃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玄铁板、电子生物芯片、组织精华液、灵根芯材、主控核心连续出现，玩家可能不知道它们分别属于金属、控制、生物还是修仙接口。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在物料卡增加“工业基础/生物材料/控制件/修仙接口”标签，并按标签配色。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P-10</w:t>
            </w:r>
          </w:p>
        </w:tc>
        <w:tc>
          <w:tcPr>
            <w:tcW w:type="dxa" w:w="800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金身初启后的功能暂未定案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金身方案仍写着“功能暂不定案”。如果Demo结算只看到造化金身亮起来，玩家可能会问“我造它到底有什么用”。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至少固定Demo内的明确收益：完成筑基认证、开放人工灵力转换接口、提供基地覆盖/物流管理入口；数值能力可后置。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三、美术制作人员会吐槽的地方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当前建筑表共有56条建筑记录，其中44条的“模型资产键”仍为空、null或“—”。这不是美术审美问题，而是交付时无法确认模型文件、挂载点、动画资源和程序引用的问题。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650"/>
        <w:gridCol w:w="800"/>
        <w:gridCol w:w="1600"/>
        <w:gridCol w:w="3260"/>
        <w:gridCol w:w="305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编号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等级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美术槽点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为什么会卡制作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建议交付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A-01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44/56建筑缺模型资产键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支撑、储藏盒、5种传送带、6种水管、抽水机、采矿机、精炼炉、粉碎机、切割机、解构机、培养皿、发电机、回收塔、传送门、操作台、风机等均只有中文说明，没有可直接交付的模型键。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每条建筑至少补：模型键、预制体键、图标键、碰撞体说明；没有正式模型时也要给占位资产键。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A-02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流体处理中枢缺主体模型和挂载点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BD_158要求4个液体输入、4个液体输出、顶部4个插件槽，并挂载搅拌机/离心机/提取器；当前没有模型资产键，也没有槽位坐标、旋转规则、管口位置。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美术交付中枢主体、4个顶部槽、4进4出管口、插件挂载点、遮挡关系和并联展示规则。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A-03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培养仓与营养基座的组合表现不完整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培养仓、营养基座模型键为空；但设计要求玻璃培养舱、开关门、按种子替换内部植物/组织模型、营养液流动指示。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拆成主体、玻璃、门、植物/组织变体、营养基座和液体特效六类资产，并给出组合预览图。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A-04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解构机尸体模型无法覆盖当前玩法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运行备注明确写着“当前蓝图只放了练气尸体”，但玩法同时需要序章正道/邪道金丹遗体、练气修士尸体和筑基修士尸体。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至少准备正道金丹、邪道金丹、练气、筑基四套可识别模型/材质；停机隐藏、运行显示、输送状态也要各有表现。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A-05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冶炼舱（上）与灵力引擎（下）缺配对模型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两个建筑的上下配对关系已写入策划，但模型资产键为空；美术无法确认连接缝、热效位置、并联时相邻特效关闭范围。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先做上下配对灰盒和接口规范，再制作单台、并联、停机三种表现。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A-06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传送带和水管的变体有名称但没有资产文件映射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传送带已有直线、顺/逆弯、上坡、下坡；水管已有直管、上弯、左弯、侧向、顶部、三通，但模型键全部缺失。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把模型文件名与中文显示名做一一对应清单，并明确堵头、三通、多通转接件是否独立资产。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A-07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动画要求散落在备注里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采矿机Model1/2/3、粉碎机Mill_Model2、切割机Cutter_Model2、流体球体慢/快速旋转、组装机关门等要求存在，但没有独立动画交付列表。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为每个建筑拆出待机、运行、停机、完成、异常五类动画状态，并绑定模型部件名。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A-08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造化金身功能未定案，最终表现无法收口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金身方案的功能栏仍为“功能暂不定案”，但金身又是Demo奇观终点。美术不知道最终要不要做接口、覆盖范围、物流特效和交互面板。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先冻结Demo表现边界：四段实体变化、人工灵力转换接口、供奉基座、物流/水管接入；后续功能另做扩展层。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A-09</w:t>
            </w:r>
          </w:p>
        </w:tc>
        <w:tc>
          <w:tcPr>
            <w:tcW w:type="dxa" w:w="800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物料表缺独立图标键字段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物料表有美术短称和外观描述，但没有独立的物料图标键；美术完成图标后，程序缺少稳定映射字段。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在程序区补充“物料图标键”，并与物料ID一一对应。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A-10</w:t>
            </w:r>
          </w:p>
        </w:tc>
        <w:tc>
          <w:tcPr>
            <w:tcW w:type="dxa" w:w="800"/>
            <w:shd w:fill="EAF6EE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已通过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结构资产命名已对齐</w:t>
            </w:r>
          </w:p>
        </w:tc>
        <w:tc>
          <w:tcPr>
            <w:tcW w:type="dxa" w:w="3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六种底座、两种楼梯、两种置物桌的中文名、尺寸和给出的模型资产键已一一对应。</w:t>
            </w:r>
          </w:p>
        </w:tc>
        <w:tc>
          <w:tcPr>
            <w:tcW w:type="dxa" w:w="3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这部分作为后续资产命名模板，其他建筑也按同样格式补齐。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四、程序与策划数据落地风险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650"/>
        <w:gridCol w:w="800"/>
        <w:gridCol w:w="1800"/>
        <w:gridCol w:w="3150"/>
        <w:gridCol w:w="29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编号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等级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风险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当前表现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建议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D-01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造化金身没有明确的程序系统ID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人造灵根原型的消费ID目前仍是筑基6里程碑；金身数量写在人类可读用量中，但不是建筑，也没有明确的系统消耗键。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增加系统对象键，例如SYS_GOLD_BODY，并定义阶段供料、进度、完成态和最终植入事件。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D-02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中央处理器也需要系统对象键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解析数据已指向中央处理器研究账户，但修复、研究认证、阶段提交、人工灵力转换接口仍分散在流程文字里。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定义SYS_CENTRAL_PROCESSOR及Repair、Research、Milestone、SpiritPowerConversion四类状态。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D-03</w:t>
            </w:r>
          </w:p>
        </w:tc>
        <w:tc>
          <w:tcPr>
            <w:tcW w:type="dxa" w:w="800"/>
            <w:shd w:fill="FDECE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应急解构机与正式解构机共用BD_140，需要模式键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序章应急模式只处理固定两具遗体；正式模式接收练气/筑基尸体。如果只靠文字区分，程序可能把一次性剧情对象和量产配方混在一起。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保留BD_140建筑ID，但增加StoryEmergency与Production两个运行模式/配置组。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D-04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单批数量和阶段数量需要分字段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MAT_054与流程同时出现单批×1/120秒、阶段提交×20、金身植入×20；人读能理解，程序不能只从一段说明文字解析。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增加BatchOutput、StageSubmitQty、SystemSink三个程序字段。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D-05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插件接口需要实际Socket映射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BD_158给出4进4出和4槽，但BD_143/144/145仍保留各自逻辑输入输出；若没有共享接口映射，程序会重复计口或重复连线。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明确HubSocket→PluginPort→RecipePort的三层映射，实体口只在中枢占用。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D-06</w:t>
            </w:r>
          </w:p>
        </w:tc>
        <w:tc>
          <w:tcPr>
            <w:tcW w:type="dxa" w:w="800"/>
            <w:shd w:fill="FFF6D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法宝完成态脱离普通物流网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山河社稷图完成态是装备对象，不是普通物料；从渡劫台输出到法宝栏的转换事件需要单独配置。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增加ArtifactState、EquipTransfer、MapRelocation事件，不要继续按普通物料库存处理。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D-07</w:t>
            </w:r>
          </w:p>
        </w:tc>
        <w:tc>
          <w:tcPr>
            <w:tcW w:type="dxa" w:w="800"/>
            <w:shd w:fill="E8EE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低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同一个材料的用途需要区分建筑消耗、配方消耗、系统提交</w:t>
            </w:r>
          </w:p>
        </w:tc>
        <w:tc>
          <w:tcPr>
            <w:tcW w:type="dxa" w:w="31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物料表已经补了金身数量，但人类可读用量和程序消费ID不是同一层信息。</w:t>
            </w:r>
          </w:p>
        </w:tc>
        <w:tc>
          <w:tcPr>
            <w:tcW w:type="dxa" w:w="2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保留人读用量，同时补充结构化消费对象列表，避免程序解析长文本。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五、建议处理顺序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650"/>
        <w:gridCol w:w="2200"/>
        <w:gridCol w:w="651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顺序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动作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验收标准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先修配方口径</w:t>
            </w:r>
          </w:p>
        </w:tc>
        <w:tc>
          <w:tcPr>
            <w:tcW w:type="dxa" w:w="65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统一耐火炉芯配方；同步建筑表、物料表、游戏流程和教程显示。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补程序系统键</w:t>
            </w:r>
          </w:p>
        </w:tc>
        <w:tc>
          <w:tcPr>
            <w:tcW w:type="dxa" w:w="65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先定义中央处理器、造化金身、应急解构机模式、法宝完成态的系统键和状态机。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补美术资产清单</w:t>
            </w:r>
          </w:p>
        </w:tc>
        <w:tc>
          <w:tcPr>
            <w:tcW w:type="dxa" w:w="65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44条缺模型键的建筑先补模型/占位键；优先流体处理中枢、培养仓、解构机、冶炼舱配对。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做玩家引导减负</w:t>
            </w:r>
          </w:p>
        </w:tc>
        <w:tc>
          <w:tcPr>
            <w:tcW w:type="dxa" w:w="65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把开场拆成修复、供电、解析三段；研究认证与金身供料分成两个UI入口。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冻结Demo功能边界</w:t>
            </w:r>
          </w:p>
        </w:tc>
        <w:tc>
          <w:tcPr>
            <w:tcW w:type="dxa" w:w="65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明确造化金身初启的实际收益，避免“功能暂不定案”影响美术、程序和玩家预期。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六、交付前验收清单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</w:tblPr>
      <w:tblGrid>
        <w:gridCol w:w="1500"/>
        <w:gridCol w:w="6100"/>
        <w:gridCol w:w="1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类别</w:t>
            </w:r>
          </w:p>
        </w:tc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验收项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65D"/>
                <w:sz w:val="18"/>
              </w:rPr>
              <w:t>当前状态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配方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耐火炉芯启动/自动配方在四处显示完全一致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未完成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配方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所有终局材料同时标出单批产量、阶段提交量、系统去向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部分完成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玩家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中央处理器研究认证与造化金身供料有两个独立入口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待UI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玩家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废液缓存、战斗掉落、木材分流都有可见的风险提示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待UI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美术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56条建筑均有模型键/占位键，包含流体中枢和插件挂点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44条待补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美术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解构机有金丹正道/邪道、练气、筑基四套表现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待制作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程序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CPU、金身、应急解构、法宝完成态都有系统键和状态机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待定义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剧情/演出</w:t>
            </w:r>
          </w:p>
        </w:tc>
        <w:tc>
          <w:tcPr>
            <w:tcW w:type="dxa" w:w="6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金身初启的Demo收益和结算文案固定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待定案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七、最终判断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版本的产线深度、建筑复用和人造灵根/法宝双线方向是成立的；真正会让玩家或制作团队产生负面反馈的，不是物料数量本身，而是“同一个概念在不同表里写法不一致”和“资产/系统接口没有落成可制作字段”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如果先完成本报告中的高等级项，再进入美术量产和程序接表，整体会从“策划逻辑可读”变成“玩家能懂、程序能接、美术能做”的正式Demo规格。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87386"/>
        <w:sz w:val="18"/>
      </w:rPr>
      <w:t xml:space="preserve">内部评审  |  第 </w:t>
    </w:r>
    <w:r>
      <w:rPr>
        <w:rFonts w:ascii="Calibri" w:hAnsi="Calibri" w:eastAsia="Microsoft YaHei"/>
        <w:b w:val="0"/>
        <w:i w:val="0"/>
        <w:color w:val="6873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87386"/>
        <w:sz w:val="18"/>
      </w:rPr>
      <w:t>修仙工厂策划案 V1  |  玩家与美术制作体检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