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from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2930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0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118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Q36b) By choosing both set-ups, the only variable affecting the result is the surface area</w:t>
        <w:br/>
        <w:t>of the block in contact with A. The exposed surface areas are covered with a poor</w:t>
      </w:r>
    </w:p>
    <w:p>
      <w:r>
        <w:t>conductor of heat to ensure most heat gain is largely due to the surface area in contact</w:t>
        <w:br/>
        <w:t>with A. This perfectly represents the objective.</w:t>
      </w:r>
    </w:p>
    <w:p>
      <w:r>
        <w:drawing>
          <wp:inline xmlns:a="http://schemas.openxmlformats.org/drawingml/2006/main" xmlns:pic="http://schemas.openxmlformats.org/drawingml/2006/picture">
            <wp:extent cx="4572000" cy="6658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5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101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85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b: Not possible to tell</w:t>
      </w:r>
    </w:p>
    <w:p>
      <w:r>
        <w:drawing>
          <wp:inline xmlns:a="http://schemas.openxmlformats.org/drawingml/2006/main" xmlns:pic="http://schemas.openxmlformats.org/drawingml/2006/picture">
            <wp:extent cx="4572000" cy="4022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2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