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 = Fill in the blanks below to show how the author related to the rubber toy. [3m]</w:t>
      </w:r>
    </w:p>
    <w:p>
      <w:r>
        <w:t>a) After the</w:t>
        <w:br/>
        <w:t>fishmonger passed [&gt; he felt that she was a lady</w:t>
        <w:br/>
        <w:t>the rubber toy io</w:t>
        <w:br/>
        <w:t>the author</w:t>
      </w:r>
    </w:p>
    <w:p>
      <w:r>
        <w:drawing>
          <wp:inline xmlns:a="http://schemas.openxmlformats.org/drawingml/2006/main" xmlns:pic="http://schemas.openxmlformats.org/drawingml/2006/picture">
            <wp:extent cx="4572000" cy="10565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6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-ND OF PAPER</w:t>
      </w:r>
    </w:p>
    <w:p>
      <w:r>
        <w:t>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