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17. Ping Ting draws some triangles that follow a pattern. The first four figures are Do not</w:t>
        <w:br/>
        <w:t>shown below. | write in</w:t>
        <w:br/>
        <w:t>. this</w:t>
        <w:br/>
        <w:t>_ space</w:t>
      </w:r>
    </w:p>
    <w:p>
      <w:r>
        <w:drawing>
          <wp:inline xmlns:a="http://schemas.openxmlformats.org/drawingml/2006/main" xmlns:pic="http://schemas.openxmlformats.org/drawingml/2006/picture">
            <wp:extent cx="4572000" cy="10567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6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Study the pattern and complete the table below.</w:t>
      </w:r>
    </w:p>
    <w:p>
      <w:r>
        <w:drawing>
          <wp:inline xmlns:a="http://schemas.openxmlformats.org/drawingml/2006/main" xmlns:pic="http://schemas.openxmlformats.org/drawingml/2006/picture">
            <wp:extent cx="4572000" cy="16099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9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(b) What is the total number of triangles in Figure 17?</w:t>
      </w:r>
    </w:p>
    <w:p>
      <w:r>
        <w:t>(c) How many unshaded triangles will there be in Figure 25?</w:t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30296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8839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83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“*End of Paper**</w:t>
      </w:r>
    </w:p>
    <w:p>
      <w:r>
        <w:t>16</w:t>
        <w:br/>
        <w:t>www.TestPapersFree.com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