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15. 2 Identical rectangles, ABHG and DEFG overlap at CHG to form the figure</w:t>
        <w:br/>
        <w:t>as shown below. BC = CH. Whai fraction of the figure is shaded?</w:t>
      </w:r>
    </w:p>
    <w:p>
      <w:r>
        <w:drawing>
          <wp:inline xmlns:a="http://schemas.openxmlformats.org/drawingml/2006/main" xmlns:pic="http://schemas.openxmlformats.org/drawingml/2006/picture">
            <wp:extent cx="4572000" cy="37928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2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