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Q27. (a) Not possible to tell</w:t>
        <w:br/>
        <w:t>{(b) False</w:t>
      </w:r>
    </w:p>
    <w:p>
      <w:r>
        <w:t>28.</w:t>
      </w:r>
    </w:p>
    <w:p>
      <w:r>
        <w:drawing>
          <wp:inline xmlns:a="http://schemas.openxmlformats.org/drawingml/2006/main" xmlns:pic="http://schemas.openxmlformats.org/drawingml/2006/picture">
            <wp:extent cx="4572000" cy="412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71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85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773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7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O29. 49 —-4= 45</w:t>
      </w:r>
    </w:p>
    <w:p>
      <w:r>
        <w:drawing>
          <wp:inline xmlns:a="http://schemas.openxmlformats.org/drawingml/2006/main" xmlns:pic="http://schemas.openxmlformats.org/drawingml/2006/picture">
            <wp:extent cx="4572000" cy="6803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0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610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1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Q30. 57-1= 56</w:t>
      </w:r>
    </w:p>
    <w:p>
      <w:r>
        <w:drawing>
          <wp:inline xmlns:a="http://schemas.openxmlformats.org/drawingml/2006/main" xmlns:pic="http://schemas.openxmlformats.org/drawingml/2006/picture">
            <wp:extent cx="4572000" cy="51954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9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102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15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5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