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21. - Astudy was conducted to identify the factors that affect the evaporation rate</w:t>
        <w:br/>
        <w:t>-. of some liquids. The table below shows the results of the investigation:</w:t>
      </w:r>
    </w:p>
    <w:p>
      <w:r>
        <w:drawing>
          <wp:inline xmlns:a="http://schemas.openxmlformats.org/drawingml/2006/main" xmlns:pic="http://schemas.openxmlformats.org/drawingml/2006/picture">
            <wp:extent cx="4572000" cy="19891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91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