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7. The table below shows the characteristics of some flowers which attract specific</w:t>
        <w:br/>
        <w:t>animals.</w:t>
      </w:r>
    </w:p>
    <w:p>
      <w:r>
        <w:drawing>
          <wp:inline xmlns:a="http://schemas.openxmlformats.org/drawingml/2006/main" xmlns:pic="http://schemas.openxmlformats.org/drawingml/2006/picture">
            <wp:extent cx="4572000" cy="1803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3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374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7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287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136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3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spicy or foul ' fruity</w:t>
      </w:r>
    </w:p>
    <w:p>
      <w:r>
        <w:drawing>
          <wp:inline xmlns:a="http://schemas.openxmlformats.org/drawingml/2006/main" xmlns:pic="http://schemas.openxmlformats.org/drawingml/2006/picture">
            <wp:extent cx="4572000" cy="11863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4023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02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