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25. Caleb created the set-up shown below. The buzzer will sound each time he</w:t>
        <w:br/>
        <w:t>closes the switch.</w:t>
      </w:r>
    </w:p>
    <w:p>
      <w:r>
        <w:drawing>
          <wp:inline xmlns:a="http://schemas.openxmlformats.org/drawingml/2006/main" xmlns:pic="http://schemas.openxmlformats.org/drawingml/2006/picture">
            <wp:extent cx="4572000" cy="19316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16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After changing the set-up, Caleb noticed thai ine buzzer did not sound when</w:t>
        <w:br/>
        <w:t>the switch was closed. What change(s) did he make?</w:t>
      </w:r>
    </w:p>
    <w:p>
      <w:r>
        <w:t>A: Add one more battery without changing the rest of the set-up.</w:t>
        <w:br/>
        <w:br/>
        <w:t>B: Coil more turns of wire around the iren rod without changing the rest of</w:t>
        <w:br/>
        <w:t>the set-up.</w:t>
        <w:br/>
        <w:br/>
        <w:t>C: Change the steel thumbtack to a copper thumbtack.</w:t>
      </w:r>
    </w:p>
    <w:p>
      <w:r>
        <w:t>(1} CGonly</w:t>
        <w:br/>
        <w:br/>
        <w:t>(2) AandB only</w:t>
        <w:br/>
        <w:t>(3) Band only</w:t>
        <w:br/>
        <w:t>(4) A, Bandc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