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35. Mr Tan drew his farnily tree as shown Delow.</w:t>
      </w:r>
    </w:p>
    <w:p>
      <w:r>
        <w:drawing>
          <wp:inline xmlns:a="http://schemas.openxmlformats.org/drawingml/2006/main" xmlns:pic="http://schemas.openxmlformats.org/drawingml/2006/picture">
            <wp:extent cx="4572000" cy="18371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7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463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(a} Based on the information above, what are the common characteristics Alice</w:t>
        <w:br/>
        <w:t>and Alison have inherited from their father? (1m)</w:t>
      </w:r>
    </w:p>
    <w:p>
      <w:r>
        <w:t>(Db) Alison Is married and she has a young son. Draw. lines and symbols to</w:t>
        <w:br/>
        <w:t>represent her husband and son in the family tree. (1m) / :</w:t>
      </w:r>
    </w:p>
    <w:p>
      <w:r>
        <w:drawing>
          <wp:inline xmlns:a="http://schemas.openxmlformats.org/drawingml/2006/main" xmlns:pic="http://schemas.openxmlformats.org/drawingml/2006/picture">
            <wp:extent cx="4572000" cy="33816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6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