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291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LEVEL : PRIMARY 6</w:t>
        <w:br/>
        <w:t>SCHOOL : : RED SWASTIKA</w:t>
      </w:r>
    </w:p>
    <w:p>
      <w:r>
        <w:t>SUBJECT : : SCTENCE /</w:t>
        <w:br/>
        <w:t>TERM +. PRELIMINARY EXAMINATION</w:t>
      </w:r>
    </w:p>
    <w:p>
      <w:r>
        <w:drawing>
          <wp:inline xmlns:a="http://schemas.openxmlformats.org/drawingml/2006/main" xmlns:pic="http://schemas.openxmlformats.org/drawingml/2006/picture">
            <wp:extent cx="4572000" cy="12691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9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O29 (a) Decomposer</w:t>
      </w:r>
    </w:p>
    <w:p>
      <w:r>
        <w:drawing>
          <wp:inline xmlns:a="http://schemas.openxmlformats.org/drawingml/2006/main" xmlns:pic="http://schemas.openxmlformats.org/drawingml/2006/picture">
            <wp:extent cx="4572000" cy="3716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(929 (c) The simpler substances broken down by the decomposers acts as</w:t>
        <w:br/>
        <w:t>fertilisers.</w:t>
      </w:r>
    </w:p>
    <w:p>
      <w:r>
        <w:drawing>
          <wp:inline xmlns:a="http://schemas.openxmlformats.org/drawingml/2006/main" xmlns:pic="http://schemas.openxmlformats.org/drawingml/2006/picture">
            <wp:extent cx="4572000" cy="51352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090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Q30 (c) A contro] set-up allows her to compare and confirm that any</w:t>
        <w:br/>
        <w:t>difference in the duration the flewers remain fresh is dué to the</w:t>
        <w:br/>
        <w:t>: use of ‘simply fresh’? which is the only variable.</w:t>
      </w:r>
    </w:p>
    <w:p>
      <w:r>
        <w:drawing>
          <wp:inline xmlns:a="http://schemas.openxmlformats.org/drawingml/2006/main" xmlns:pic="http://schemas.openxmlformats.org/drawingml/2006/picture">
            <wp:extent cx="4572000" cy="381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