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245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developed my love for watercolour painting when | was a child. On my sixth birthday, Dad</w:t>
        <w:br/>
        <w:t>gave me a palette of watercolour and that unleashed the magic of creative expressions in me. At</w:t>
        <w:br/>
        <w:t>first, | painted without a specific aim. ! was not particular about what | painted — my favourite stool,</w:t>
        <w:br/>
        <w:t>a memorable scene tome book | had read or even the banana | had for afternoon snack. As a</w:t>
        <w:br/>
        <w:t>result, my paintings did not tell a story. Then, | became more accomplished with practiceOnce, we</w:t>
        <w:br/>
        <w:t>went on a vacation to another country and Dad said that my colourful painting of a garden we visiied</w:t>
        <w:br/>
        <w:t>vas the best souvenir of the trip.</w:t>
        <w:br/>
        <w:t>With the encouragement of my parents and friends, my entiusiasm for painting grew.</w:t>
        <w:br/>
        <w:t>While | have received many compliments that my paintings are artistic, | continue io take lessons to</w:t>
        <w:br/>
        <w:t>improve my feqpqiaue.</w:t>
        <w:br/>
        <w:t>it is my dream to be a well-known artist one day.</w:t>
        <w:br/>
        <w:t>On</w:t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