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r>
        <w:t>17. — Jim placed a coin at the botiom of a beaker as shown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in.the beaker.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411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170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10025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25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t>He repeated the same experiment with water from rivers Y and Z. The table below</w:t>
        <w:br/>
        <w:t>shows the results.</w:t>
      </w:r>
    </w:p>
    <w:p>
      <w:r>
        <w:drawing>
          <wp:inline xmlns:a="http://schemas.openxmlformats.org/drawingml/2006/main" xmlns:pic="http://schemas.openxmlformats.org/drawingml/2006/picture">
            <wp:extent cx="4572000" cy="18686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Jim’s results, which of the following shows the clarity of water from rivers X,</w:t>
        <w:br/>
        <w:t>Y and 7 in the correct order?</w:t>
      </w:r>
    </w:p>
    <w:p/>
    <w:p/>
    <w:p/>
    <w:p>
      <w:r>
        <w:drawing>
          <wp:inline xmlns:a="http://schemas.openxmlformats.org/drawingml/2006/main" xmlns:pic="http://schemas.openxmlformats.org/drawingml/2006/picture">
            <wp:extent cx="4572000" cy="11521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