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Q35 = The author gave a loud well and jumped up with a start.</w:t>
        <w:br/>
        <w:br/>
        <w:t>Q36 Grandma was pleading for someone to help Ali pull the fobster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