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a) After the</w:t>
        <w:br/>
        <w:t>fishmonger passed [&gt; he felt that she was a lady</w:t>
        <w:br/>
        <w:t>the rubber toy io</w:t>
        <w:br/>
        <w:t>the author</w:t>
      </w:r>
    </w:p>
    <w:p>
      <w:r>
        <w:t>b) When the author</w:t>
        <w:br/>
        <w:t>passed the rubber [&gt; he wanted to .</w:t>
        <w:br/>
        <w:t>joy to the young girl</w:t>
        <w:br/>
        <w:t>c) When the author</w:t>
        <w:br/>
        <w:t>called the rubber ) he wanted the young girl to treat it as a</w:t>
        <w:br/>
        <w:t>toy ‘Squeaky’</w:t>
      </w:r>
    </w:p>
    <w:p>
      <w:r>
        <w:drawing>
          <wp:inline xmlns:a="http://schemas.openxmlformats.org/drawingml/2006/main" xmlns:pic="http://schemas.openxmlformats.org/drawingml/2006/picture">
            <wp:extent cx="4572000" cy="2931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14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