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— Jim placed a coin at the botiom of a beaker as shown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in.the beaker.</w:t>
      </w:r>
    </w:p>
    <w:p>
      <w:r>
        <w:drawing>
          <wp:inline xmlns:a="http://schemas.openxmlformats.org/drawingml/2006/main" xmlns:pic="http://schemas.openxmlformats.org/drawingml/2006/picture">
            <wp:extent cx="4572000" cy="1411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1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025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2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repeated the same experiment with water from rivers Y and Z. The table below</w:t>
        <w:br/>
        <w:t>shows the results.</w:t>
      </w:r>
    </w:p>
    <w:p>
      <w:r>
        <w:drawing>
          <wp:inline xmlns:a="http://schemas.openxmlformats.org/drawingml/2006/main" xmlns:pic="http://schemas.openxmlformats.org/drawingml/2006/picture">
            <wp:extent cx="4572000" cy="18686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Jim’s results, which of the following shows the clarity of water from rivers X,</w:t>
        <w:br/>
        <w:t>Y and 7 in the correct order?</w:t>
      </w:r>
    </w:p>
    <w:p>
      <w:r>
        <w:drawing>
          <wp:inline xmlns:a="http://schemas.openxmlformats.org/drawingml/2006/main" xmlns:pic="http://schemas.openxmlformats.org/drawingml/2006/picture">
            <wp:extent cx="4572000" cy="11521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