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5418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1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97924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792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When the north pole of another magnet is placed under magnet P, the</w:t>
        <w:br/>
        <w:t>wooden rod will tilt towards magnet P. ---</w:t>
        <w:br/>
        <w:br/>
        <w:t>(2) When the north pole of another magnet is.placed under iron ball Q, the</w:t>
        <w:br/>
        <w:t>wooden red will tilt fowards magnet P. ©":</w:t>
        <w:br/>
        <w:br/>
        <w:t>{3) | When the south pole of another magnet is placed under magnet P, the</w:t>
        <w:br/>
        <w:t>wooden rod will tilt towards iron ball Q.</w:t>
        <w:br/>
        <w:br/>
        <w:t>(4) When the south pole of another magnet is placed. under tron-ball-Q, the</w:t>
        <w:br/>
        <w:t>wooden rod will tit towards iron ball Q.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