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YaHei" w:hAnsi="Microsoft YaHei" w:eastAsia="Microsoft YaHei"/>
          <w:b/>
          <w:color w:val="0F172A"/>
          <w:sz w:val="48"/>
        </w:rPr>
        <w:t>泰山 A 股研究模型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475569"/>
          <w:sz w:val="23"/>
        </w:rPr>
        <w:t>结构说明、策略台账与统一口径回测摘要  |  V72</w:t>
      </w:r>
    </w:p>
    <w:p>
      <w:pPr>
        <w:spacing w:after="200"/>
      </w:pPr>
      <w:hyperlink r:id="rId11">
        <w:r>
          <w:rPr>
            <w:color w:val="2563EB"/>
            <w:u w:val="single"/>
          </w:rPr>
          <w:t>在线驾驶舱：https://taishan-a-share-dashboard.gttnn.chatgpt.site</w:t>
        </w:r>
      </w:hyperlink>
    </w:p>
    <w:p>
      <w:pPr>
        <w:spacing w:before="280" w:after="100"/>
      </w:pPr>
      <w:r>
        <w:rPr>
          <w:rFonts w:ascii="Microsoft YaHei" w:hAnsi="Microsoft YaHei" w:eastAsia="Microsoft YaHei"/>
          <w:b/>
          <w:color w:val="1D4ED8"/>
          <w:sz w:val="30"/>
        </w:rPr>
        <w:t>一、当前模型到什么阶段了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结论：</w:t>
      </w:r>
      <w:r>
        <w:rPr>
          <w:rFonts w:ascii="Microsoft YaHei" w:hAnsi="Microsoft YaHei" w:eastAsia="Microsoft YaHei"/>
          <w:b w:val="0"/>
          <w:color w:val="1F2937"/>
          <w:sz w:val="20"/>
        </w:rPr>
        <w:t>当前系统已经形成“数据 -&gt; 市场环境 -&gt; 板块 -&gt; 个股质量 -&gt; 风险 -&gt; 前验验证”的研究闭环，但尚未形成可诚实宣称为稳定盈利的正式交易模型。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最核心的候选层是 V50 趋势质量层：趋势模板、阶段位置、涨停/接力质量、板块轮动与风险控制五项打分。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V48 强势观察层是第二核心：趋势、板块扩散、反追高与风险质量，适合验证中期强势股票是否具备继续观察价值。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V61/V68 是方法治理层：18 个方法入库、10 个可比、去重为 9 个方法家族；目前禁止正式晋级。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V64/V71 是另类信息研究层：12 类来源；当前正式权重为 0%，只进行入口、归档、映射和样本外验证。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V66/V70 分别记录实时收盘代理与冻结前验队列；它们是验证工具，不能被包装成即时收益信号。</w:t>
      </w:r>
    </w:p>
    <w:p>
      <w:pPr>
        <w:spacing w:before="280" w:after="100"/>
      </w:pPr>
      <w:r>
        <w:rPr>
          <w:rFonts w:ascii="Microsoft YaHei" w:hAnsi="Microsoft YaHei" w:eastAsia="Microsoft YaHei"/>
          <w:b/>
          <w:color w:val="1D4ED8"/>
          <w:sz w:val="30"/>
        </w:rPr>
        <w:t>二、策略台账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23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843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策略/版本</w:t>
            </w:r>
          </w:p>
        </w:tc>
        <w:tc>
          <w:tcPr>
            <w:tcW w:type="dxa" w:w="4205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解决的问题</w:t>
            </w:r>
          </w:p>
        </w:tc>
        <w:tc>
          <w:tcPr>
            <w:tcW w:type="dxa" w:w="2189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市场闸门</w:t>
            </w:r>
          </w:p>
        </w:tc>
        <w:tc>
          <w:tcPr>
            <w:tcW w:type="dxa" w:w="184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大盘状态与日线数据就绪</w:t>
            </w:r>
          </w:p>
        </w:tc>
        <w:tc>
          <w:tcPr>
            <w:tcW w:type="dxa" w:w="4205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在历史数据不完整、市场弱或成交条件缺失时降级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风控约束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板块层</w:t>
            </w:r>
          </w:p>
        </w:tc>
        <w:tc>
          <w:tcPr>
            <w:tcW w:type="dxa" w:w="184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板块收益、扩散、MA20 上方比例、成交额</w:t>
            </w:r>
          </w:p>
        </w:tc>
        <w:tc>
          <w:tcPr>
            <w:tcW w:type="dxa" w:w="4205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防止只看个股而忽略板块退潮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观察/筛选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个股层</w:t>
            </w:r>
          </w:p>
        </w:tc>
        <w:tc>
          <w:tcPr>
            <w:tcW w:type="dxa" w:w="184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V48 强势观察</w:t>
            </w:r>
          </w:p>
        </w:tc>
        <w:tc>
          <w:tcPr>
            <w:tcW w:type="dxa" w:w="4205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趋势、反追高、风险质量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研究观察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个股层</w:t>
            </w:r>
          </w:p>
        </w:tc>
        <w:tc>
          <w:tcPr>
            <w:tcW w:type="dxa" w:w="184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V50 趋势质量</w:t>
            </w:r>
          </w:p>
        </w:tc>
        <w:tc>
          <w:tcPr>
            <w:tcW w:type="dxa" w:w="4205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趋势模板、阶段、接力、板块轮动、风险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主要研究候选层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另类层</w:t>
            </w:r>
          </w:p>
        </w:tc>
        <w:tc>
          <w:tcPr>
            <w:tcW w:type="dxa" w:w="184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V71 另类信息审计</w:t>
            </w:r>
          </w:p>
        </w:tc>
        <w:tc>
          <w:tcPr>
            <w:tcW w:type="dxa" w:w="4205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公告、宏观、搜索、消费、招聘、物流等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0% 权重，待验证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治理层</w:t>
            </w:r>
          </w:p>
        </w:tc>
        <w:tc>
          <w:tcPr>
            <w:tcW w:type="dxa" w:w="184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V61/V68/V70</w:t>
            </w:r>
          </w:p>
        </w:tc>
        <w:tc>
          <w:tcPr>
            <w:tcW w:type="dxa" w:w="4205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防过拟合、家族去重、冻结前验、执行回放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禁止过早晋级</w:t>
            </w:r>
          </w:p>
        </w:tc>
      </w:tr>
    </w:tbl>
    <w:p>
      <w:pPr>
        <w:spacing w:before="280" w:after="100"/>
      </w:pPr>
      <w:r>
        <w:rPr>
          <w:rFonts w:ascii="Microsoft YaHei" w:hAnsi="Microsoft YaHei" w:eastAsia="Microsoft YaHei"/>
          <w:b/>
          <w:color w:val="1D4ED8"/>
          <w:sz w:val="30"/>
        </w:rPr>
        <w:t>三、统一口径回测：3、5、7 个交易日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口径：</w:t>
      </w:r>
      <w:r>
        <w:rPr>
          <w:rFonts w:ascii="Microsoft YaHei" w:hAnsi="Microsoft YaHei" w:eastAsia="Microsoft YaHei"/>
          <w:b w:val="0"/>
          <w:color w:val="1F2937"/>
          <w:sz w:val="20"/>
        </w:rPr>
        <w:t>样本截止 2026-07-10；回看最近 80 个信号日；每次取前 8 只构成等权篮子。次日可得开盘价进入，持有至第 N 个交易日收盘，计入双边 0.18% 成本；排除开盘不可成交的疑似一字涨停样本。</w:t>
      </w:r>
    </w:p>
    <w:p>
      <w:pPr>
        <w:spacing w:before="180" w:after="100"/>
      </w:pPr>
      <w:r>
        <w:rPr>
          <w:rFonts w:ascii="Microsoft YaHei" w:hAnsi="Microsoft YaHei" w:eastAsia="Microsoft YaHei"/>
          <w:b/>
          <w:color w:val="1F4D78"/>
          <w:sz w:val="24"/>
        </w:rPr>
        <w:t>V48 强势观察层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93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持有期</w:t>
            </w:r>
          </w:p>
        </w:tc>
        <w:tc>
          <w:tcPr>
            <w:tcW w:type="dxa" w:w="1224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篮子样本</w:t>
            </w:r>
          </w:p>
        </w:tc>
        <w:tc>
          <w:tcPr>
            <w:tcW w:type="dxa" w:w="1469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平均收益</w:t>
            </w:r>
          </w:p>
        </w:tc>
        <w:tc>
          <w:tcPr>
            <w:tcW w:type="dxa" w:w="1469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中位收益</w:t>
            </w:r>
          </w:p>
        </w:tc>
        <w:tc>
          <w:tcPr>
            <w:tcW w:type="dxa" w:w="1469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正收益率</w:t>
            </w:r>
          </w:p>
        </w:tc>
        <w:tc>
          <w:tcPr>
            <w:tcW w:type="dxa" w:w="1584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最差篮子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 日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77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0.06%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0.06%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51.95%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-6.78%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5 日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75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0.35%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-0.24%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48.00%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-9.64%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7 日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73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1.36%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0.07%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50.68%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-6.76%</w:t>
            </w:r>
          </w:p>
        </w:tc>
      </w:tr>
    </w:tbl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定位：</w:t>
      </w:r>
      <w:r>
        <w:rPr>
          <w:rFonts w:ascii="Microsoft YaHei" w:hAnsi="Microsoft YaHei" w:eastAsia="Microsoft YaHei"/>
          <w:b w:val="0"/>
          <w:color w:val="1F2937"/>
          <w:sz w:val="20"/>
        </w:rPr>
        <w:t>趋势、板块扩散、反追高与风险质量的中期观察</w:t>
      </w:r>
    </w:p>
    <w:p>
      <w:pPr>
        <w:spacing w:before="180" w:after="100"/>
      </w:pPr>
      <w:r>
        <w:rPr>
          <w:rFonts w:ascii="Microsoft YaHei" w:hAnsi="Microsoft YaHei" w:eastAsia="Microsoft YaHei"/>
          <w:b/>
          <w:color w:val="1F4D78"/>
          <w:sz w:val="24"/>
        </w:rPr>
        <w:t>V50 趋势质量层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93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持有期</w:t>
            </w:r>
          </w:p>
        </w:tc>
        <w:tc>
          <w:tcPr>
            <w:tcW w:type="dxa" w:w="1224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篮子样本</w:t>
            </w:r>
          </w:p>
        </w:tc>
        <w:tc>
          <w:tcPr>
            <w:tcW w:type="dxa" w:w="1469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平均收益</w:t>
            </w:r>
          </w:p>
        </w:tc>
        <w:tc>
          <w:tcPr>
            <w:tcW w:type="dxa" w:w="1469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中位收益</w:t>
            </w:r>
          </w:p>
        </w:tc>
        <w:tc>
          <w:tcPr>
            <w:tcW w:type="dxa" w:w="1469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正收益率</w:t>
            </w:r>
          </w:p>
        </w:tc>
        <w:tc>
          <w:tcPr>
            <w:tcW w:type="dxa" w:w="1584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最差篮子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 日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77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1.42%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1.35%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61.04%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-14.19%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5 日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75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2.34%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2.54%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66.67%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-16.36%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7 日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73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4.34%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4.24%</w:t>
            </w:r>
          </w:p>
        </w:tc>
        <w:tc>
          <w:tcPr>
            <w:tcW w:type="dxa" w:w="146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73.97%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-21.74%</w:t>
            </w:r>
          </w:p>
        </w:tc>
      </w:tr>
    </w:tbl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定位：</w:t>
      </w:r>
      <w:r>
        <w:rPr>
          <w:rFonts w:ascii="Microsoft YaHei" w:hAnsi="Microsoft YaHei" w:eastAsia="Microsoft YaHei"/>
          <w:b w:val="0"/>
          <w:color w:val="1F2937"/>
          <w:sz w:val="20"/>
        </w:rPr>
        <w:t>趋势模板、阶段位置、接力质量、板块轮动与风控的观察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如何解读：</w:t>
      </w:r>
      <w:r>
        <w:rPr>
          <w:rFonts w:ascii="Microsoft YaHei" w:hAnsi="Microsoft YaHei" w:eastAsia="Microsoft YaHei"/>
          <w:b w:val="0"/>
          <w:color w:val="1F2937"/>
          <w:sz w:val="20"/>
        </w:rPr>
        <w:t>V50 在这段本地样本中的 3/5/7 日平均收益和正收益率优于 V48，但其最差篮子亏损仍很大；因此它只是当前最值得继续前验验证的核心候选层，不是可直接下单的‘盈利模型’。</w:t>
      </w:r>
    </w:p>
    <w:p>
      <w:pPr>
        <w:spacing w:before="280" w:after="100"/>
      </w:pPr>
      <w:r>
        <w:rPr>
          <w:rFonts w:ascii="Microsoft YaHei" w:hAnsi="Microsoft YaHei" w:eastAsia="Microsoft YaHei"/>
          <w:b/>
          <w:color w:val="1D4ED8"/>
          <w:sz w:val="30"/>
        </w:rPr>
        <w:t>四、当前最重要的限制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日线正式截面仍依赖本地前复权缓存；Tushare 当前账户可用的是 RT，而非完整历史日线权限。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V50/V48 3、5、7 日统计使用的是同一段 80 个信号日，信号期相互重叠，不能当作独立 75 次交易。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回测已纳入基础成交可行性过滤和 18bp 成本，但仍不能完全复现停牌、涨跌停、滑点、冲击成本和真实仓位约束。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另类数据多数尚无点时历史；它们目前不改变正式分数。</w:t>
      </w:r>
    </w:p>
    <w:p>
      <w:pPr>
        <w:spacing w:before="280" w:after="100"/>
      </w:pPr>
      <w:r>
        <w:rPr>
          <w:rFonts w:ascii="Microsoft YaHei" w:hAnsi="Microsoft YaHei" w:eastAsia="Microsoft YaHei"/>
          <w:b/>
          <w:color w:val="1D4ED8"/>
          <w:sz w:val="30"/>
        </w:rPr>
        <w:t>五、后续验证与自动化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99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12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自动任务</w:t>
            </w:r>
          </w:p>
        </w:tc>
        <w:tc>
          <w:tcPr>
            <w:tcW w:type="dxa" w:w="4219"/>
            <w:shd w:fill="1D4ED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工作日 08:55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盘前研究刷新</w:t>
            </w:r>
          </w:p>
        </w:tc>
        <w:tc>
          <w:tcPr>
            <w:tcW w:type="dxa" w:w="421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数据就绪、市场环境与研究队列状态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交易日收盘后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实时快照归档</w:t>
            </w:r>
          </w:p>
        </w:tc>
        <w:tc>
          <w:tcPr>
            <w:tcW w:type="dxa" w:w="421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主板 RT 截面及观察层记录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工作日 18:30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日线增量修复与研究刷新</w:t>
            </w:r>
          </w:p>
        </w:tc>
        <w:tc>
          <w:tcPr>
            <w:tcW w:type="dxa" w:w="421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数据覆盖、V48/V50、方法验证、另类台账、表盘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达到 10/20/30 日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冻结队列后验</w:t>
            </w:r>
          </w:p>
        </w:tc>
        <w:tc>
          <w:tcPr>
            <w:tcW w:type="dxa" w:w="421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前验表现、归因与是否允许继续研究</w:t>
            </w:r>
          </w:p>
        </w:tc>
      </w:tr>
    </w:tbl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2937"/>
          <w:sz w:val="20"/>
        </w:rPr>
        <w:t>晋级规则：</w:t>
      </w:r>
      <w:r>
        <w:rPr>
          <w:rFonts w:ascii="Microsoft YaHei" w:hAnsi="Microsoft YaHei" w:eastAsia="Microsoft YaHei"/>
          <w:b w:val="0"/>
          <w:color w:val="1F2937"/>
          <w:sz w:val="20"/>
        </w:rPr>
        <w:t>只有在独立前验期、市场/板块控制后的增量收益、执行回放和回撤约束均通过后，某个方法才有资格申请小权重晋级。</w:t>
      </w:r>
    </w:p>
    <w:p>
      <w:pPr>
        <w:spacing w:before="280" w:after="100"/>
      </w:pPr>
      <w:r>
        <w:rPr>
          <w:rFonts w:ascii="Microsoft YaHei" w:hAnsi="Microsoft YaHei" w:eastAsia="Microsoft YaHei"/>
          <w:b/>
          <w:color w:val="1D4ED8"/>
          <w:sz w:val="30"/>
        </w:rPr>
        <w:t>六、使用方式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优先看在线驾驶舱的数据日期、数据就绪度、方法审计和候选风险说明。候选池是研究观察清单，不是买卖指令；任何真实决策都应结合自身风险承受能力和独立判断。</w:t>
      </w:r>
    </w:p>
    <w:p>
      <w:hyperlink r:id="rId11">
        <w:r>
          <w:rPr>
            <w:color w:val="2563EB"/>
            <w:u w:val="single"/>
          </w:rPr>
          <w:t>打开在线驾驶舱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6"/>
      </w:rPr>
      <w:t>研究与风控用途，不构成投资建议或收益承诺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4748B"/>
        <w:sz w:val="17"/>
      </w:rPr>
      <w:t>泰山 A 股研究驾驶舱  |  研究资料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aishan-a-share-dashboard.gttnn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